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86" w:leftChars="-857" w:hanging="3786" w:hangingChars="857"/>
        <w:jc w:val="center"/>
        <w:rPr>
          <w:b/>
          <w:bCs/>
          <w:color w:val="auto"/>
          <w:sz w:val="44"/>
          <w:szCs w:val="44"/>
          <w:highlight w:val="none"/>
        </w:rPr>
      </w:pPr>
      <w:r>
        <w:rPr>
          <w:rFonts w:hint="eastAsia"/>
          <w:b/>
          <w:bCs/>
          <w:color w:val="auto"/>
          <w:sz w:val="44"/>
          <w:szCs w:val="44"/>
          <w:highlight w:val="none"/>
        </w:rPr>
        <w:t xml:space="preserve">       </w:t>
      </w:r>
      <w:r>
        <w:rPr>
          <w:rFonts w:hint="eastAsia"/>
          <w:b/>
          <w:bCs/>
          <w:color w:val="auto"/>
          <w:sz w:val="44"/>
          <w:szCs w:val="44"/>
          <w:highlight w:val="none"/>
          <w:lang w:eastAsia="zh-CN"/>
        </w:rPr>
        <w:t>悦江府</w:t>
      </w:r>
      <w:r>
        <w:rPr>
          <w:rFonts w:hint="eastAsia"/>
          <w:b/>
          <w:bCs/>
          <w:color w:val="auto"/>
          <w:sz w:val="44"/>
          <w:szCs w:val="44"/>
          <w:highlight w:val="none"/>
        </w:rPr>
        <w:t xml:space="preserve">前期物业管理服务协议 </w:t>
      </w:r>
    </w:p>
    <w:p>
      <w:pPr>
        <w:ind w:left="1986" w:leftChars="-857" w:hanging="3786" w:hangingChars="857"/>
        <w:jc w:val="center"/>
        <w:rPr>
          <w:b/>
          <w:bCs/>
          <w:color w:val="auto"/>
          <w:sz w:val="44"/>
          <w:szCs w:val="44"/>
          <w:highlight w:val="none"/>
        </w:rPr>
      </w:pPr>
    </w:p>
    <w:p>
      <w:pPr>
        <w:rPr>
          <w:rFonts w:asciiTheme="minorEastAsia" w:hAnsiTheme="minorEastAsia"/>
          <w:bCs/>
          <w:color w:val="auto"/>
          <w:szCs w:val="21"/>
          <w:highlight w:val="none"/>
        </w:rPr>
      </w:pPr>
      <w:r>
        <w:rPr>
          <w:rFonts w:hint="eastAsia" w:asciiTheme="minorEastAsia" w:hAnsiTheme="minorEastAsia"/>
          <w:bCs/>
          <w:color w:val="auto"/>
          <w:szCs w:val="21"/>
          <w:highlight w:val="none"/>
        </w:rPr>
        <w:t xml:space="preserve">本协议当事人 </w:t>
      </w:r>
    </w:p>
    <w:p>
      <w:pPr>
        <w:rPr>
          <w:rFonts w:asciiTheme="minorEastAsia" w:hAnsiTheme="minorEastAsia"/>
          <w:bCs/>
          <w:color w:val="auto"/>
          <w:szCs w:val="21"/>
          <w:highlight w:val="none"/>
          <w:u w:val="single"/>
        </w:rPr>
      </w:pPr>
      <w:r>
        <w:rPr>
          <w:rFonts w:hint="eastAsia" w:asciiTheme="minorEastAsia" w:hAnsiTheme="minorEastAsia"/>
          <w:bCs/>
          <w:color w:val="auto"/>
          <w:szCs w:val="21"/>
          <w:highlight w:val="none"/>
        </w:rPr>
        <w:t>甲方：</w:t>
      </w:r>
      <w:r>
        <w:rPr>
          <w:rFonts w:hint="eastAsia" w:asciiTheme="minorEastAsia" w:hAnsiTheme="minorEastAsia"/>
          <w:bCs/>
          <w:color w:val="auto"/>
          <w:szCs w:val="21"/>
          <w:highlight w:val="none"/>
          <w:u w:val="single"/>
        </w:rPr>
        <w:t>台州市</w:t>
      </w:r>
      <w:r>
        <w:rPr>
          <w:rFonts w:hint="eastAsia" w:asciiTheme="minorEastAsia" w:hAnsiTheme="minorEastAsia"/>
          <w:color w:val="auto"/>
          <w:szCs w:val="21"/>
          <w:highlight w:val="none"/>
          <w:u w:val="single"/>
        </w:rPr>
        <w:t>中盛物业管理有限公司</w:t>
      </w:r>
    </w:p>
    <w:p>
      <w:pPr>
        <w:rPr>
          <w:rFonts w:asciiTheme="minorEastAsia" w:hAnsiTheme="minorEastAsia"/>
          <w:bCs/>
          <w:color w:val="auto"/>
          <w:szCs w:val="21"/>
          <w:highlight w:val="none"/>
          <w:u w:val="single"/>
        </w:rPr>
      </w:pPr>
    </w:p>
    <w:p>
      <w:pPr>
        <w:rPr>
          <w:rFonts w:asciiTheme="minorEastAsia" w:hAnsiTheme="minorEastAsia"/>
          <w:bCs/>
          <w:color w:val="auto"/>
          <w:szCs w:val="21"/>
          <w:highlight w:val="none"/>
          <w:u w:val="single"/>
        </w:rPr>
      </w:pPr>
      <w:r>
        <w:rPr>
          <w:rFonts w:hint="eastAsia" w:asciiTheme="minorEastAsia" w:hAnsiTheme="minorEastAsia"/>
          <w:bCs/>
          <w:color w:val="auto"/>
          <w:szCs w:val="21"/>
          <w:highlight w:val="none"/>
        </w:rPr>
        <w:t>乙方：</w:t>
      </w:r>
      <w:r>
        <w:rPr>
          <w:rFonts w:hint="eastAsia" w:asciiTheme="minorEastAsia" w:hAnsiTheme="minorEastAsia"/>
          <w:bCs/>
          <w:color w:val="auto"/>
          <w:szCs w:val="21"/>
          <w:highlight w:val="none"/>
          <w:u w:val="single"/>
        </w:rPr>
        <w:t xml:space="preserve">                         </w:t>
      </w:r>
    </w:p>
    <w:p>
      <w:pPr>
        <w:rPr>
          <w:rFonts w:asciiTheme="minorEastAsia" w:hAnsiTheme="minorEastAsia"/>
          <w:bCs/>
          <w:color w:val="auto"/>
          <w:szCs w:val="21"/>
          <w:highlight w:val="none"/>
        </w:rPr>
      </w:pPr>
    </w:p>
    <w:p>
      <w:pPr>
        <w:rPr>
          <w:rFonts w:asciiTheme="minorEastAsia" w:hAnsiTheme="minorEastAsia"/>
          <w:color w:val="auto"/>
          <w:szCs w:val="21"/>
          <w:highlight w:val="none"/>
        </w:rPr>
      </w:pPr>
      <w:r>
        <w:rPr>
          <w:rFonts w:hint="eastAsia" w:asciiTheme="minorEastAsia" w:hAnsiTheme="minorEastAsia"/>
          <w:bCs/>
          <w:color w:val="auto"/>
          <w:szCs w:val="21"/>
          <w:highlight w:val="none"/>
        </w:rPr>
        <w:t>甲方是指：</w:t>
      </w:r>
      <w:r>
        <w:rPr>
          <w:rFonts w:hint="eastAsia" w:asciiTheme="minorEastAsia" w:hAnsiTheme="minorEastAsia"/>
          <w:color w:val="auto"/>
          <w:szCs w:val="21"/>
          <w:highlight w:val="none"/>
        </w:rPr>
        <w:t xml:space="preserve">开发建设单位委托的物业管理企业。  </w:t>
      </w:r>
    </w:p>
    <w:p>
      <w:pPr>
        <w:rPr>
          <w:rFonts w:asciiTheme="minorEastAsia" w:hAnsiTheme="minorEastAsia"/>
          <w:color w:val="auto"/>
          <w:szCs w:val="21"/>
          <w:highlight w:val="none"/>
        </w:rPr>
      </w:pPr>
    </w:p>
    <w:p>
      <w:pPr>
        <w:rPr>
          <w:rFonts w:asciiTheme="minorEastAsia" w:hAnsiTheme="minorEastAsia"/>
          <w:color w:val="auto"/>
          <w:szCs w:val="21"/>
          <w:highlight w:val="none"/>
        </w:rPr>
      </w:pPr>
      <w:r>
        <w:rPr>
          <w:rFonts w:hint="eastAsia" w:asciiTheme="minorEastAsia" w:hAnsiTheme="minorEastAsia"/>
          <w:bCs/>
          <w:color w:val="auto"/>
          <w:szCs w:val="21"/>
          <w:highlight w:val="none"/>
        </w:rPr>
        <w:t>乙方是指：</w:t>
      </w:r>
      <w:r>
        <w:rPr>
          <w:rFonts w:hint="eastAsia" w:asciiTheme="minorEastAsia" w:hAnsiTheme="minorEastAsia"/>
          <w:color w:val="auto"/>
          <w:szCs w:val="21"/>
          <w:highlight w:val="none"/>
        </w:rPr>
        <w:t xml:space="preserve">购房人（业主）。 </w:t>
      </w:r>
    </w:p>
    <w:p>
      <w:pPr>
        <w:rPr>
          <w:rFonts w:asciiTheme="minorEastAsia" w:hAnsiTheme="minorEastAsia"/>
          <w:color w:val="auto"/>
          <w:szCs w:val="21"/>
          <w:highlight w:val="none"/>
        </w:rPr>
      </w:pPr>
    </w:p>
    <w:p>
      <w:pPr>
        <w:rPr>
          <w:rFonts w:asciiTheme="minorEastAsia" w:hAnsiTheme="minorEastAsia"/>
          <w:bCs/>
          <w:color w:val="auto"/>
          <w:szCs w:val="21"/>
          <w:highlight w:val="none"/>
        </w:rPr>
      </w:pPr>
      <w:r>
        <w:rPr>
          <w:rFonts w:hint="eastAsia" w:asciiTheme="minorEastAsia" w:hAnsiTheme="minorEastAsia"/>
          <w:bCs/>
          <w:color w:val="auto"/>
          <w:szCs w:val="21"/>
          <w:highlight w:val="none"/>
        </w:rPr>
        <w:t xml:space="preserve">前期物业管理是指： </w:t>
      </w:r>
    </w:p>
    <w:p>
      <w:pPr>
        <w:rPr>
          <w:rFonts w:asciiTheme="minorEastAsia" w:hAnsiTheme="minorEastAsia"/>
          <w:bCs/>
          <w:color w:val="auto"/>
          <w:szCs w:val="21"/>
          <w:highlight w:val="none"/>
        </w:rPr>
      </w:pPr>
    </w:p>
    <w:p>
      <w:pPr>
        <w:ind w:firstLine="420"/>
        <w:rPr>
          <w:rFonts w:asciiTheme="minorEastAsia" w:hAnsiTheme="minorEastAsia"/>
          <w:color w:val="auto"/>
          <w:szCs w:val="21"/>
          <w:highlight w:val="none"/>
        </w:rPr>
      </w:pPr>
      <w:r>
        <w:rPr>
          <w:rFonts w:hint="eastAsia" w:asciiTheme="minorEastAsia" w:hAnsiTheme="minorEastAsia"/>
          <w:color w:val="auto"/>
          <w:szCs w:val="21"/>
          <w:highlight w:val="none"/>
        </w:rPr>
        <w:t xml:space="preserve">自本协议签订日起至业主委员会与物业管理企业签订的《物业管理委托合同》生效时止的物业管理。 </w:t>
      </w:r>
    </w:p>
    <w:p>
      <w:pPr>
        <w:ind w:firstLine="420"/>
        <w:rPr>
          <w:rFonts w:asciiTheme="minorEastAsia" w:hAnsiTheme="minorEastAsia"/>
          <w:color w:val="auto"/>
          <w:szCs w:val="21"/>
          <w:highlight w:val="none"/>
        </w:rPr>
      </w:pPr>
    </w:p>
    <w:p>
      <w:pPr>
        <w:rPr>
          <w:rFonts w:asciiTheme="minorEastAsia" w:hAnsiTheme="minorEastAsia"/>
          <w:color w:val="auto"/>
          <w:szCs w:val="21"/>
          <w:highlight w:val="none"/>
        </w:rPr>
      </w:pPr>
      <w:r>
        <w:rPr>
          <w:rFonts w:hint="eastAsia" w:asciiTheme="minorEastAsia" w:hAnsiTheme="minorEastAsia"/>
          <w:bCs/>
          <w:color w:val="auto"/>
          <w:szCs w:val="21"/>
          <w:highlight w:val="none"/>
        </w:rPr>
        <w:t>物业名称：</w:t>
      </w:r>
      <w:r>
        <w:rPr>
          <w:rFonts w:hint="eastAsia" w:asciiTheme="minorEastAsia" w:hAnsiTheme="minorEastAsia"/>
          <w:bCs/>
          <w:color w:val="auto"/>
          <w:szCs w:val="21"/>
          <w:highlight w:val="none"/>
          <w:lang w:eastAsia="zh-CN"/>
        </w:rPr>
        <w:t>悦江府</w:t>
      </w:r>
      <w:r>
        <w:rPr>
          <w:rFonts w:hint="eastAsia" w:asciiTheme="minorEastAsia" w:hAnsiTheme="minorEastAsia"/>
          <w:color w:val="auto"/>
          <w:szCs w:val="21"/>
          <w:highlight w:val="none"/>
        </w:rPr>
        <w:t xml:space="preserve">小区； </w:t>
      </w:r>
    </w:p>
    <w:p>
      <w:pPr>
        <w:rPr>
          <w:rFonts w:asciiTheme="minorEastAsia" w:hAnsiTheme="minorEastAsia"/>
          <w:color w:val="auto"/>
          <w:szCs w:val="21"/>
          <w:highlight w:val="none"/>
        </w:rPr>
      </w:pPr>
    </w:p>
    <w:p>
      <w:pPr>
        <w:rPr>
          <w:rFonts w:asciiTheme="minorEastAsia" w:hAnsiTheme="minorEastAsia"/>
          <w:bCs/>
          <w:color w:val="auto"/>
          <w:szCs w:val="21"/>
          <w:highlight w:val="none"/>
          <w:u w:val="single"/>
        </w:rPr>
      </w:pPr>
      <w:r>
        <w:rPr>
          <w:rFonts w:hint="eastAsia" w:asciiTheme="minorEastAsia" w:hAnsiTheme="minorEastAsia"/>
          <w:bCs/>
          <w:color w:val="auto"/>
          <w:szCs w:val="21"/>
          <w:highlight w:val="none"/>
        </w:rPr>
        <w:t>乙方所购房屋销售（预售）合同编号：</w:t>
      </w:r>
      <w:r>
        <w:rPr>
          <w:rFonts w:hint="eastAsia" w:asciiTheme="minorEastAsia" w:hAnsiTheme="minorEastAsia"/>
          <w:bCs/>
          <w:color w:val="auto"/>
          <w:szCs w:val="21"/>
          <w:highlight w:val="none"/>
          <w:u w:val="single"/>
        </w:rPr>
        <w:t xml:space="preserve">                               </w:t>
      </w:r>
    </w:p>
    <w:p>
      <w:pPr>
        <w:rPr>
          <w:rFonts w:asciiTheme="minorEastAsia" w:hAnsiTheme="minorEastAsia"/>
          <w:bCs/>
          <w:color w:val="auto"/>
          <w:szCs w:val="21"/>
          <w:highlight w:val="none"/>
          <w:u w:val="single"/>
        </w:rPr>
      </w:pPr>
    </w:p>
    <w:p>
      <w:pPr>
        <w:rPr>
          <w:rFonts w:asciiTheme="minorEastAsia" w:hAnsiTheme="minorEastAsia"/>
          <w:bCs/>
          <w:color w:val="auto"/>
          <w:szCs w:val="21"/>
          <w:highlight w:val="none"/>
        </w:rPr>
      </w:pPr>
      <w:r>
        <w:rPr>
          <w:rFonts w:hint="eastAsia" w:asciiTheme="minorEastAsia" w:hAnsiTheme="minorEastAsia"/>
          <w:bCs/>
          <w:color w:val="auto"/>
          <w:szCs w:val="21"/>
          <w:highlight w:val="none"/>
        </w:rPr>
        <w:t xml:space="preserve">乙方所购房屋基本情况： </w:t>
      </w:r>
    </w:p>
    <w:p>
      <w:pPr>
        <w:rPr>
          <w:rFonts w:asciiTheme="minorEastAsia" w:hAnsiTheme="minorEastAsia"/>
          <w:bCs/>
          <w:color w:val="auto"/>
          <w:szCs w:val="21"/>
          <w:highlight w:val="none"/>
        </w:rPr>
      </w:pPr>
    </w:p>
    <w:p>
      <w:pPr>
        <w:rPr>
          <w:rFonts w:asciiTheme="minorEastAsia" w:hAnsiTheme="minorEastAsia"/>
          <w:bCs/>
          <w:color w:val="auto"/>
          <w:szCs w:val="21"/>
          <w:highlight w:val="none"/>
          <w:u w:val="single"/>
        </w:rPr>
      </w:pPr>
      <w:r>
        <w:rPr>
          <w:rFonts w:hint="eastAsia" w:asciiTheme="minorEastAsia" w:hAnsiTheme="minorEastAsia"/>
          <w:bCs/>
          <w:color w:val="auto"/>
          <w:szCs w:val="21"/>
          <w:highlight w:val="none"/>
        </w:rPr>
        <w:t xml:space="preserve">类型： </w:t>
      </w:r>
      <w:r>
        <w:rPr>
          <w:rFonts w:hint="eastAsia" w:asciiTheme="minorEastAsia" w:hAnsiTheme="minorEastAsia"/>
          <w:bCs/>
          <w:color w:val="auto"/>
          <w:szCs w:val="21"/>
          <w:highlight w:val="none"/>
          <w:u w:val="single"/>
        </w:rPr>
        <w:t xml:space="preserve"> </w:t>
      </w:r>
      <w:r>
        <w:rPr>
          <w:rFonts w:hint="eastAsia" w:asciiTheme="minorEastAsia" w:hAnsiTheme="minorEastAsia"/>
          <w:bCs/>
          <w:color w:val="auto"/>
          <w:szCs w:val="21"/>
          <w:highlight w:val="none"/>
          <w:u w:val="single"/>
          <w:lang w:val="en-US" w:eastAsia="zh-CN"/>
        </w:rPr>
        <w:t xml:space="preserve">                 </w:t>
      </w:r>
      <w:r>
        <w:rPr>
          <w:rFonts w:hint="eastAsia" w:asciiTheme="minorEastAsia" w:hAnsiTheme="minorEastAsia"/>
          <w:bCs/>
          <w:color w:val="auto"/>
          <w:szCs w:val="21"/>
          <w:highlight w:val="none"/>
          <w:u w:val="single"/>
        </w:rPr>
        <w:t xml:space="preserve"> </w:t>
      </w:r>
    </w:p>
    <w:p>
      <w:pPr>
        <w:rPr>
          <w:rFonts w:asciiTheme="minorEastAsia" w:hAnsiTheme="minorEastAsia"/>
          <w:bCs/>
          <w:color w:val="auto"/>
          <w:szCs w:val="21"/>
          <w:highlight w:val="none"/>
          <w:u w:val="single"/>
        </w:rPr>
      </w:pPr>
    </w:p>
    <w:p>
      <w:pPr>
        <w:rPr>
          <w:rFonts w:asciiTheme="minorEastAsia" w:hAnsiTheme="minorEastAsia"/>
          <w:bCs/>
          <w:color w:val="auto"/>
          <w:szCs w:val="21"/>
          <w:highlight w:val="none"/>
        </w:rPr>
      </w:pPr>
      <w:r>
        <w:rPr>
          <w:rFonts w:hint="eastAsia" w:asciiTheme="minorEastAsia" w:hAnsiTheme="minorEastAsia"/>
          <w:bCs/>
          <w:color w:val="auto"/>
          <w:szCs w:val="21"/>
          <w:highlight w:val="none"/>
        </w:rPr>
        <w:t>坐落位置：</w:t>
      </w:r>
      <w:r>
        <w:rPr>
          <w:rFonts w:hint="eastAsia" w:asciiTheme="minorEastAsia" w:hAnsiTheme="minorEastAsia"/>
          <w:bCs/>
          <w:color w:val="auto"/>
          <w:szCs w:val="21"/>
          <w:highlight w:val="none"/>
          <w:u w:val="single"/>
        </w:rPr>
        <w:t xml:space="preserve">        </w:t>
      </w:r>
      <w:r>
        <w:rPr>
          <w:rFonts w:hint="eastAsia" w:asciiTheme="minorEastAsia" w:hAnsiTheme="minorEastAsia"/>
          <w:bCs/>
          <w:color w:val="auto"/>
          <w:szCs w:val="21"/>
          <w:highlight w:val="none"/>
        </w:rPr>
        <w:t xml:space="preserve"> 幢</w:t>
      </w:r>
      <w:r>
        <w:rPr>
          <w:rFonts w:hint="eastAsia" w:asciiTheme="minorEastAsia" w:hAnsiTheme="minorEastAsia"/>
          <w:bCs/>
          <w:color w:val="auto"/>
          <w:szCs w:val="21"/>
          <w:highlight w:val="none"/>
          <w:u w:val="single"/>
        </w:rPr>
        <w:t xml:space="preserve"> </w:t>
      </w:r>
      <w:r>
        <w:rPr>
          <w:rFonts w:hint="eastAsia" w:asciiTheme="minorEastAsia" w:hAnsiTheme="minorEastAsia"/>
          <w:bCs/>
          <w:color w:val="auto"/>
          <w:szCs w:val="21"/>
          <w:highlight w:val="none"/>
          <w:u w:val="single"/>
          <w:lang w:val="en-US" w:eastAsia="zh-CN"/>
        </w:rPr>
        <w:t xml:space="preserve">             </w:t>
      </w:r>
      <w:r>
        <w:rPr>
          <w:rFonts w:hint="eastAsia" w:asciiTheme="minorEastAsia" w:hAnsiTheme="minorEastAsia"/>
          <w:bCs/>
          <w:color w:val="auto"/>
          <w:szCs w:val="21"/>
          <w:highlight w:val="none"/>
          <w:lang w:val="en-US" w:eastAsia="zh-CN"/>
        </w:rPr>
        <w:t>单元</w:t>
      </w:r>
      <w:r>
        <w:rPr>
          <w:rFonts w:hint="eastAsia" w:asciiTheme="minorEastAsia" w:hAnsiTheme="minorEastAsia"/>
          <w:bCs/>
          <w:color w:val="auto"/>
          <w:szCs w:val="21"/>
          <w:highlight w:val="none"/>
          <w:u w:val="single"/>
        </w:rPr>
        <w:t xml:space="preserve">       </w:t>
      </w:r>
      <w:r>
        <w:rPr>
          <w:rFonts w:hint="eastAsia" w:asciiTheme="minorEastAsia" w:hAnsiTheme="minorEastAsia"/>
          <w:bCs/>
          <w:color w:val="auto"/>
          <w:szCs w:val="21"/>
          <w:highlight w:val="none"/>
        </w:rPr>
        <w:t xml:space="preserve">  室 </w:t>
      </w:r>
    </w:p>
    <w:p>
      <w:pPr>
        <w:rPr>
          <w:rFonts w:asciiTheme="minorEastAsia" w:hAnsiTheme="minorEastAsia"/>
          <w:bCs/>
          <w:color w:val="auto"/>
          <w:szCs w:val="21"/>
          <w:highlight w:val="none"/>
        </w:rPr>
      </w:pPr>
    </w:p>
    <w:p>
      <w:pPr>
        <w:rPr>
          <w:rFonts w:asciiTheme="minorEastAsia" w:hAnsiTheme="minorEastAsia"/>
          <w:bCs/>
          <w:color w:val="auto"/>
          <w:szCs w:val="21"/>
          <w:highlight w:val="none"/>
        </w:rPr>
      </w:pPr>
      <w:r>
        <w:rPr>
          <w:rFonts w:hint="eastAsia" w:asciiTheme="minorEastAsia" w:hAnsiTheme="minorEastAsia"/>
          <w:bCs/>
          <w:color w:val="auto"/>
          <w:szCs w:val="21"/>
          <w:highlight w:val="none"/>
        </w:rPr>
        <w:t>建筑面积：</w:t>
      </w:r>
      <w:r>
        <w:rPr>
          <w:rFonts w:hint="eastAsia" w:asciiTheme="minorEastAsia" w:hAnsiTheme="minorEastAsia"/>
          <w:bCs/>
          <w:color w:val="auto"/>
          <w:szCs w:val="21"/>
          <w:highlight w:val="none"/>
          <w:u w:val="single"/>
        </w:rPr>
        <w:t xml:space="preserve">                   </w:t>
      </w:r>
      <w:r>
        <w:rPr>
          <w:rFonts w:hint="eastAsia" w:asciiTheme="minorEastAsia" w:hAnsiTheme="minorEastAsia"/>
          <w:bCs/>
          <w:color w:val="auto"/>
          <w:szCs w:val="21"/>
          <w:highlight w:val="none"/>
        </w:rPr>
        <w:t xml:space="preserve">平方米 </w:t>
      </w:r>
    </w:p>
    <w:p>
      <w:pPr>
        <w:rPr>
          <w:rFonts w:asciiTheme="minorEastAsia" w:hAnsiTheme="minorEastAsia"/>
          <w:bCs/>
          <w:color w:val="auto"/>
          <w:szCs w:val="21"/>
          <w:highlight w:val="none"/>
        </w:rPr>
      </w:pPr>
    </w:p>
    <w:p>
      <w:pPr>
        <w:rPr>
          <w:rFonts w:asciiTheme="minorEastAsia" w:hAnsiTheme="minorEastAsia"/>
          <w:color w:val="auto"/>
          <w:szCs w:val="21"/>
          <w:highlight w:val="none"/>
        </w:rPr>
      </w:pPr>
      <w:r>
        <w:rPr>
          <w:rFonts w:hint="eastAsia" w:asciiTheme="minorEastAsia" w:hAnsiTheme="minorEastAsia"/>
          <w:color w:val="auto"/>
          <w:szCs w:val="21"/>
          <w:highlight w:val="none"/>
        </w:rPr>
        <w:t xml:space="preserve">    根据有关法律、法规，在自愿、平等、协商一致的基础上，在乙方签订《</w:t>
      </w:r>
      <w:r>
        <w:rPr>
          <w:rFonts w:hint="eastAsia" w:asciiTheme="minorEastAsia" w:hAnsiTheme="minorEastAsia"/>
          <w:color w:val="auto"/>
          <w:szCs w:val="21"/>
          <w:highlight w:val="none"/>
          <w:lang w:eastAsia="zh-CN"/>
        </w:rPr>
        <w:t>浙江省商品房买卖合同（预售）</w:t>
      </w:r>
      <w:r>
        <w:rPr>
          <w:rFonts w:hint="eastAsia" w:asciiTheme="minorEastAsia" w:hAnsiTheme="minorEastAsia"/>
          <w:color w:val="auto"/>
          <w:szCs w:val="21"/>
          <w:highlight w:val="none"/>
        </w:rPr>
        <w:t xml:space="preserve">》时，甲乙双方就前期物业管理服务达成如下协议： </w:t>
      </w:r>
    </w:p>
    <w:p>
      <w:pPr>
        <w:ind w:firstLine="525" w:firstLineChars="250"/>
        <w:rPr>
          <w:rFonts w:asciiTheme="minorEastAsia" w:hAnsiTheme="minorEastAsia"/>
          <w:color w:val="auto"/>
          <w:szCs w:val="21"/>
          <w:highlight w:val="none"/>
        </w:rPr>
      </w:pPr>
    </w:p>
    <w:p>
      <w:pPr>
        <w:pStyle w:val="7"/>
        <w:numPr>
          <w:ilvl w:val="0"/>
          <w:numId w:val="1"/>
        </w:numPr>
        <w:spacing w:line="360" w:lineRule="auto"/>
        <w:ind w:firstLineChars="0"/>
        <w:rPr>
          <w:rFonts w:asciiTheme="minorEastAsia" w:hAnsiTheme="minorEastAsia"/>
          <w:bCs/>
          <w:color w:val="auto"/>
          <w:szCs w:val="21"/>
          <w:highlight w:val="none"/>
        </w:rPr>
      </w:pPr>
      <w:r>
        <w:rPr>
          <w:rFonts w:hint="eastAsia" w:asciiTheme="minorEastAsia" w:hAnsiTheme="minorEastAsia"/>
          <w:bCs/>
          <w:color w:val="auto"/>
          <w:szCs w:val="21"/>
          <w:highlight w:val="none"/>
        </w:rPr>
        <w:t xml:space="preserve"> 双方的权利和义务 </w:t>
      </w:r>
    </w:p>
    <w:p>
      <w:pPr>
        <w:pStyle w:val="7"/>
        <w:numPr>
          <w:ilvl w:val="0"/>
          <w:numId w:val="2"/>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甲方的权利义务 </w:t>
      </w:r>
    </w:p>
    <w:p>
      <w:pPr>
        <w:numPr>
          <w:ilvl w:val="0"/>
          <w:numId w:val="3"/>
        </w:num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 甲方的权利 </w:t>
      </w:r>
    </w:p>
    <w:p>
      <w:pPr>
        <w:pStyle w:val="7"/>
        <w:numPr>
          <w:ilvl w:val="0"/>
          <w:numId w:val="4"/>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根据相关法律法规及本合同约定，制定物业管理制度，并将有关制度告知乙方； </w:t>
      </w:r>
    </w:p>
    <w:p>
      <w:pPr>
        <w:pStyle w:val="7"/>
        <w:numPr>
          <w:ilvl w:val="0"/>
          <w:numId w:val="4"/>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制止和劝阻乙方违反本物业《临时规约》和物业管理制度的行为； </w:t>
      </w:r>
    </w:p>
    <w:p>
      <w:pPr>
        <w:pStyle w:val="7"/>
        <w:numPr>
          <w:ilvl w:val="0"/>
          <w:numId w:val="4"/>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可委托专业公司承担本物业的专项管理与服务业务，但不得将本物业的整体管理责任转让给第三方； </w:t>
      </w:r>
    </w:p>
    <w:p>
      <w:pPr>
        <w:pStyle w:val="7"/>
        <w:numPr>
          <w:ilvl w:val="0"/>
          <w:numId w:val="4"/>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向乙方收取物业管理费用，对逾期不交纳的予以催讨。停止相应服务、法院起诉等方法催讨直至乙方缴清相关费用； </w:t>
      </w:r>
    </w:p>
    <w:p>
      <w:pPr>
        <w:pStyle w:val="7"/>
        <w:numPr>
          <w:ilvl w:val="0"/>
          <w:numId w:val="4"/>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加强装饰装修备案管理工作，提前将装饰装修房屋的注意事项和禁止行为书面告知乙方，并负责监督； </w:t>
      </w:r>
    </w:p>
    <w:p>
      <w:pPr>
        <w:pStyle w:val="7"/>
        <w:numPr>
          <w:ilvl w:val="0"/>
          <w:numId w:val="4"/>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依据与开</w:t>
      </w:r>
      <w:r>
        <w:rPr>
          <w:rFonts w:hint="eastAsia" w:asciiTheme="minorEastAsia" w:hAnsiTheme="minorEastAsia"/>
          <w:color w:val="auto"/>
          <w:szCs w:val="21"/>
          <w:highlight w:val="none"/>
          <w:lang w:eastAsia="zh-CN"/>
        </w:rPr>
        <w:t>发</w:t>
      </w:r>
      <w:r>
        <w:rPr>
          <w:rFonts w:hint="eastAsia" w:asciiTheme="minorEastAsia" w:hAnsiTheme="minorEastAsia"/>
          <w:color w:val="auto"/>
          <w:szCs w:val="21"/>
          <w:highlight w:val="none"/>
        </w:rPr>
        <w:t>商签订的《前期物业管理服务合同》的规定，向乙方收取物业管理费用；</w:t>
      </w:r>
    </w:p>
    <w:p>
      <w:pPr>
        <w:pStyle w:val="7"/>
        <w:numPr>
          <w:ilvl w:val="0"/>
          <w:numId w:val="4"/>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法律法规规定的其他权利。 </w:t>
      </w:r>
    </w:p>
    <w:p>
      <w:pPr>
        <w:numPr>
          <w:ilvl w:val="0"/>
          <w:numId w:val="3"/>
        </w:num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甲方的义务 </w:t>
      </w:r>
    </w:p>
    <w:p>
      <w:pPr>
        <w:pStyle w:val="7"/>
        <w:numPr>
          <w:ilvl w:val="0"/>
          <w:numId w:val="5"/>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对房屋共用部位、共用设施设备进行维护与管理； </w:t>
      </w:r>
    </w:p>
    <w:p>
      <w:pPr>
        <w:pStyle w:val="7"/>
        <w:numPr>
          <w:ilvl w:val="0"/>
          <w:numId w:val="5"/>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按有关规定，对市政共用设施、绿化、环境卫生设施进行维护与管理； </w:t>
      </w:r>
    </w:p>
    <w:p>
      <w:pPr>
        <w:pStyle w:val="7"/>
        <w:numPr>
          <w:ilvl w:val="0"/>
          <w:numId w:val="5"/>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协助公安部门做好物业管理区域内的秩序维护工作； </w:t>
      </w:r>
    </w:p>
    <w:p>
      <w:pPr>
        <w:pStyle w:val="7"/>
        <w:numPr>
          <w:ilvl w:val="0"/>
          <w:numId w:val="5"/>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建立、健全和妥善管理本物业的物业管理档案、资料； </w:t>
      </w:r>
    </w:p>
    <w:p>
      <w:pPr>
        <w:pStyle w:val="7"/>
        <w:numPr>
          <w:ilvl w:val="0"/>
          <w:numId w:val="5"/>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编制年度物业管理工作计划 ； </w:t>
      </w:r>
    </w:p>
    <w:p>
      <w:pPr>
        <w:pStyle w:val="7"/>
        <w:numPr>
          <w:ilvl w:val="0"/>
          <w:numId w:val="5"/>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编制年度物业共用部位、共用设施设备维修资金的使用计划； </w:t>
      </w:r>
    </w:p>
    <w:p>
      <w:pPr>
        <w:pStyle w:val="7"/>
        <w:numPr>
          <w:ilvl w:val="0"/>
          <w:numId w:val="5"/>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每年的第一季度向乙方公布物业共用部位共用设施设备维修资金和利用共用部位共用设施设备和相关场地经营</w:t>
      </w:r>
      <w:bookmarkStart w:id="0" w:name="_GoBack"/>
      <w:bookmarkEnd w:id="0"/>
      <w:r>
        <w:rPr>
          <w:rFonts w:hint="eastAsia" w:asciiTheme="minorEastAsia" w:hAnsiTheme="minorEastAsia"/>
          <w:color w:val="auto"/>
          <w:szCs w:val="21"/>
          <w:highlight w:val="none"/>
        </w:rPr>
        <w:t xml:space="preserve">收益的收支账目； </w:t>
      </w:r>
    </w:p>
    <w:p>
      <w:pPr>
        <w:pStyle w:val="7"/>
        <w:numPr>
          <w:ilvl w:val="0"/>
          <w:numId w:val="5"/>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向乙方提供房屋自用部位、自用设备设施维修养护等有偿服务； </w:t>
      </w:r>
    </w:p>
    <w:p>
      <w:pPr>
        <w:pStyle w:val="7"/>
        <w:numPr>
          <w:ilvl w:val="0"/>
          <w:numId w:val="5"/>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对园区内</w:t>
      </w:r>
      <w:r>
        <w:rPr>
          <w:rFonts w:hint="eastAsia" w:asciiTheme="minorEastAsia" w:hAnsiTheme="minorEastAsia"/>
          <w:color w:val="auto"/>
          <w:szCs w:val="21"/>
          <w:highlight w:val="none"/>
          <w:lang w:eastAsia="zh-CN"/>
        </w:rPr>
        <w:t>存在安全隐患的</w:t>
      </w:r>
      <w:r>
        <w:rPr>
          <w:rFonts w:hint="eastAsia" w:asciiTheme="minorEastAsia" w:hAnsiTheme="minorEastAsia"/>
          <w:color w:val="auto"/>
          <w:szCs w:val="21"/>
          <w:highlight w:val="none"/>
        </w:rPr>
        <w:t xml:space="preserve">位置视情况设置安全提示牌； </w:t>
      </w:r>
    </w:p>
    <w:p>
      <w:pPr>
        <w:pStyle w:val="7"/>
        <w:numPr>
          <w:ilvl w:val="0"/>
          <w:numId w:val="5"/>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如未被业主或业主大会续聘，自本协议终止起30日内与业主大会选聘的物业管理企业办理物业管理移交手续； </w:t>
      </w:r>
    </w:p>
    <w:p>
      <w:pPr>
        <w:pStyle w:val="7"/>
        <w:numPr>
          <w:ilvl w:val="0"/>
          <w:numId w:val="5"/>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法律法规规定的其他义务。         </w:t>
      </w:r>
    </w:p>
    <w:p>
      <w:pPr>
        <w:pStyle w:val="7"/>
        <w:numPr>
          <w:ilvl w:val="0"/>
          <w:numId w:val="2"/>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乙方的权利义务 </w:t>
      </w:r>
    </w:p>
    <w:p>
      <w:pPr>
        <w:numPr>
          <w:ilvl w:val="0"/>
          <w:numId w:val="6"/>
        </w:num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乙方的权利 </w:t>
      </w:r>
    </w:p>
    <w:p>
      <w:pPr>
        <w:pStyle w:val="7"/>
        <w:numPr>
          <w:ilvl w:val="0"/>
          <w:numId w:val="7"/>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按照本协议的约定内容，接受物业管理企业提供的服务； </w:t>
      </w:r>
    </w:p>
    <w:p>
      <w:pPr>
        <w:pStyle w:val="7"/>
        <w:numPr>
          <w:ilvl w:val="0"/>
          <w:numId w:val="7"/>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依据本协议内容监督甲方履行前期物业管理服务协议，对甲方前期物业管理服务存</w:t>
      </w:r>
    </w:p>
    <w:p>
      <w:p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在的有关问题提出意见和建议，维护自己的合法权益； </w:t>
      </w:r>
    </w:p>
    <w:p>
      <w:pPr>
        <w:pStyle w:val="7"/>
        <w:numPr>
          <w:ilvl w:val="0"/>
          <w:numId w:val="7"/>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对物业共用部位、共用设施设备和有关场地使用情况享有知情权和监督权； </w:t>
      </w:r>
    </w:p>
    <w:p>
      <w:pPr>
        <w:numPr>
          <w:ilvl w:val="0"/>
          <w:numId w:val="7"/>
        </w:num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甲方不按规定擅自提高收费标准的，乙方可拒付； </w:t>
      </w:r>
    </w:p>
    <w:p>
      <w:pPr>
        <w:numPr>
          <w:ilvl w:val="0"/>
          <w:numId w:val="7"/>
        </w:num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参加首次业主大会，行使投票权和被投票权； </w:t>
      </w:r>
    </w:p>
    <w:p>
      <w:pPr>
        <w:numPr>
          <w:ilvl w:val="0"/>
          <w:numId w:val="7"/>
        </w:num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法律法规规定的其他权利。 </w:t>
      </w:r>
    </w:p>
    <w:p>
      <w:pPr>
        <w:numPr>
          <w:ilvl w:val="0"/>
          <w:numId w:val="6"/>
        </w:num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乙方的义务 </w:t>
      </w:r>
    </w:p>
    <w:p>
      <w:pPr>
        <w:pStyle w:val="7"/>
        <w:numPr>
          <w:ilvl w:val="0"/>
          <w:numId w:val="8"/>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根据本协议按时向甲方交纳物业管理各项费用； </w:t>
      </w:r>
    </w:p>
    <w:p>
      <w:pPr>
        <w:pStyle w:val="7"/>
        <w:numPr>
          <w:ilvl w:val="0"/>
          <w:numId w:val="8"/>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自觉遵守《临时规约》和物业管理制度； </w:t>
      </w:r>
    </w:p>
    <w:p>
      <w:pPr>
        <w:pStyle w:val="7"/>
        <w:numPr>
          <w:ilvl w:val="0"/>
          <w:numId w:val="8"/>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进行二次装修时，应遵守《台州市房屋使用安全管理条例》有关规定和本小区《二次装饰装修管理规定》，并填写装修备案表，申报提供装修方案、身份证、房产证复印件及图纸，经房管部门或甲方备案后实施。施工期间接受甲方的检查、指导，完工后及时告知甲方； </w:t>
      </w:r>
    </w:p>
    <w:p>
      <w:pPr>
        <w:pStyle w:val="7"/>
        <w:numPr>
          <w:ilvl w:val="0"/>
          <w:numId w:val="8"/>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装饰装修施工期间，须办理《装修许可证》并告知装修施工人员出入本物业区域须持有《施工人员临时出入证》、接受门岗秩序维护人员的检查、按规定时间装修及遵守物业管理有关规章制度； </w:t>
      </w:r>
    </w:p>
    <w:p>
      <w:pPr>
        <w:pStyle w:val="7"/>
        <w:numPr>
          <w:ilvl w:val="0"/>
          <w:numId w:val="8"/>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遵守物业管理区域内共用部位和共用设施设备的使用规定，不得占用、损坏本物业的共用部位、共用设施设备或改变其使用功能。因搬迁、装饰装修等原因确需合理使用</w:t>
      </w:r>
      <w:r>
        <w:rPr>
          <w:rFonts w:hint="eastAsia" w:asciiTheme="minorEastAsia" w:hAnsiTheme="minorEastAsia"/>
          <w:color w:val="auto"/>
          <w:szCs w:val="21"/>
          <w:highlight w:val="none"/>
          <w:lang w:eastAsia="zh-CN"/>
        </w:rPr>
        <w:t>共用</w:t>
      </w:r>
      <w:r>
        <w:rPr>
          <w:rFonts w:hint="eastAsia" w:asciiTheme="minorEastAsia" w:hAnsiTheme="minorEastAsia"/>
          <w:color w:val="auto"/>
          <w:szCs w:val="21"/>
          <w:highlight w:val="none"/>
        </w:rPr>
        <w:t xml:space="preserve">部位，共用设施设备的，应事先告知甲方，并在约定的期限内恢复原状，造成损失的，应予赔偿； </w:t>
      </w:r>
    </w:p>
    <w:p>
      <w:pPr>
        <w:pStyle w:val="7"/>
        <w:numPr>
          <w:ilvl w:val="0"/>
          <w:numId w:val="8"/>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遵守物业使用规定，不改变住宅、自行车库和机动车库等使用性质； </w:t>
      </w:r>
    </w:p>
    <w:p>
      <w:pPr>
        <w:pStyle w:val="7"/>
        <w:numPr>
          <w:ilvl w:val="0"/>
          <w:numId w:val="8"/>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转让房屋时，应事先告知甲方，并缴清所欠物业管理费用，同时告知受让人与甲方签订本协议； </w:t>
      </w:r>
    </w:p>
    <w:p>
      <w:pPr>
        <w:pStyle w:val="7"/>
        <w:numPr>
          <w:ilvl w:val="0"/>
          <w:numId w:val="8"/>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对物业使用人因违反本物业管理有关规定而造成的损失、损害，乙方承担连带民事责任； </w:t>
      </w:r>
    </w:p>
    <w:p>
      <w:pPr>
        <w:pStyle w:val="7"/>
        <w:numPr>
          <w:ilvl w:val="0"/>
          <w:numId w:val="8"/>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按照安全、公平、合理的原则，正确处理物业的给排水、通风、采光、维修、通行、卫生、环保等方面的相邻关系，不得侵害他人的合法权益； </w:t>
      </w:r>
    </w:p>
    <w:p>
      <w:pPr>
        <w:pStyle w:val="7"/>
        <w:numPr>
          <w:ilvl w:val="0"/>
          <w:numId w:val="8"/>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发现房屋共用部位、共用设施设备需维修的，应及时报修，以便甲方及时派人进行修复。在实施维修作业时，应积极配合，使维修工作正常进行。   </w:t>
      </w:r>
    </w:p>
    <w:p>
      <w:pPr>
        <w:spacing w:line="360" w:lineRule="auto"/>
        <w:rPr>
          <w:rFonts w:asciiTheme="minorEastAsia" w:hAnsiTheme="minorEastAsia"/>
          <w:color w:val="auto"/>
          <w:szCs w:val="21"/>
          <w:highlight w:val="none"/>
        </w:rPr>
      </w:pPr>
    </w:p>
    <w:p>
      <w:pPr>
        <w:pStyle w:val="7"/>
        <w:keepNext w:val="0"/>
        <w:keepLines w:val="0"/>
        <w:pageBreakBefore w:val="0"/>
        <w:widowControl w:val="0"/>
        <w:numPr>
          <w:ilvl w:val="0"/>
          <w:numId w:val="1"/>
        </w:numPr>
        <w:kinsoku/>
        <w:wordWrap/>
        <w:overflowPunct/>
        <w:topLinePunct w:val="0"/>
        <w:autoSpaceDE/>
        <w:autoSpaceDN/>
        <w:bidi w:val="0"/>
        <w:adjustRightInd/>
        <w:snapToGrid/>
        <w:spacing w:line="400" w:lineRule="exact"/>
        <w:ind w:left="930" w:leftChars="0" w:firstLineChars="0"/>
        <w:textAlignment w:val="auto"/>
        <w:rPr>
          <w:rFonts w:asciiTheme="minorEastAsia" w:hAnsiTheme="minorEastAsia"/>
          <w:bCs/>
          <w:color w:val="auto"/>
          <w:szCs w:val="21"/>
          <w:highlight w:val="none"/>
        </w:rPr>
      </w:pPr>
      <w:r>
        <w:rPr>
          <w:rFonts w:hint="eastAsia" w:asciiTheme="minorEastAsia" w:hAnsiTheme="minorEastAsia"/>
          <w:bCs/>
          <w:color w:val="auto"/>
          <w:szCs w:val="21"/>
          <w:highlight w:val="none"/>
        </w:rPr>
        <w:t xml:space="preserve"> 对本物业外立面装修，作如下约定；   </w:t>
      </w:r>
    </w:p>
    <w:p>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420"/>
        <w:textAlignment w:val="auto"/>
        <w:rPr>
          <w:rFonts w:asciiTheme="minorEastAsia" w:hAnsiTheme="minorEastAsia"/>
          <w:bCs/>
          <w:color w:val="auto"/>
          <w:szCs w:val="21"/>
          <w:highlight w:val="none"/>
        </w:rPr>
      </w:pPr>
      <w:r>
        <w:rPr>
          <w:rFonts w:hint="eastAsia" w:asciiTheme="minorEastAsia" w:hAnsiTheme="minorEastAsia"/>
          <w:bCs/>
          <w:color w:val="auto"/>
          <w:szCs w:val="21"/>
          <w:highlight w:val="none"/>
          <w:lang w:eastAsia="zh-CN"/>
        </w:rPr>
        <w:t>雨篷</w:t>
      </w:r>
      <w:r>
        <w:rPr>
          <w:rFonts w:hint="eastAsia" w:asciiTheme="minorEastAsia" w:hAnsiTheme="minorEastAsia"/>
          <w:bCs/>
          <w:color w:val="auto"/>
          <w:szCs w:val="21"/>
          <w:highlight w:val="none"/>
        </w:rPr>
        <w:t xml:space="preserve">：不允许安装；  </w:t>
      </w:r>
    </w:p>
    <w:p>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420"/>
        <w:textAlignment w:val="auto"/>
        <w:rPr>
          <w:rFonts w:asciiTheme="minorEastAsia" w:hAnsiTheme="minorEastAsia"/>
          <w:bCs/>
          <w:color w:val="auto"/>
          <w:szCs w:val="21"/>
          <w:highlight w:val="none"/>
        </w:rPr>
      </w:pPr>
      <w:r>
        <w:rPr>
          <w:rFonts w:hint="eastAsia" w:asciiTheme="minorEastAsia" w:hAnsiTheme="minorEastAsia"/>
          <w:bCs/>
          <w:color w:val="auto"/>
          <w:szCs w:val="21"/>
          <w:highlight w:val="none"/>
        </w:rPr>
        <w:t>花架子：不得在楼宇外立面安装 ；</w:t>
      </w:r>
    </w:p>
    <w:p>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420"/>
        <w:textAlignment w:val="auto"/>
        <w:rPr>
          <w:rFonts w:asciiTheme="minorEastAsia" w:hAnsiTheme="minorEastAsia"/>
          <w:bCs/>
          <w:color w:val="auto"/>
          <w:szCs w:val="21"/>
          <w:highlight w:val="none"/>
        </w:rPr>
      </w:pPr>
      <w:r>
        <w:rPr>
          <w:rFonts w:hint="eastAsia" w:asciiTheme="minorEastAsia" w:hAnsiTheme="minorEastAsia"/>
          <w:bCs/>
          <w:color w:val="auto"/>
          <w:szCs w:val="21"/>
          <w:highlight w:val="none"/>
        </w:rPr>
        <w:t>防盗窗：允许安装在窗户内侧，不得外装 ；</w:t>
      </w:r>
    </w:p>
    <w:p>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420"/>
        <w:textAlignment w:val="auto"/>
        <w:rPr>
          <w:rFonts w:asciiTheme="minorEastAsia" w:hAnsiTheme="minorEastAsia"/>
          <w:bCs/>
          <w:color w:val="auto"/>
          <w:szCs w:val="21"/>
          <w:highlight w:val="none"/>
        </w:rPr>
      </w:pPr>
      <w:r>
        <w:rPr>
          <w:rFonts w:hint="eastAsia" w:asciiTheme="minorEastAsia" w:hAnsiTheme="minorEastAsia"/>
          <w:bCs/>
          <w:color w:val="auto"/>
          <w:szCs w:val="21"/>
          <w:highlight w:val="none"/>
        </w:rPr>
        <w:t>空调外机安装：</w:t>
      </w:r>
      <w:r>
        <w:rPr>
          <w:rFonts w:hint="eastAsia" w:asciiTheme="minorEastAsia" w:hAnsiTheme="minorEastAsia"/>
          <w:bCs/>
          <w:color w:val="auto"/>
          <w:szCs w:val="21"/>
          <w:highlight w:val="none"/>
          <w:lang w:val="zh-CN" w:eastAsia="zh-CN"/>
        </w:rPr>
        <w:t>本小区住宅只考虑空调外机设置在每户的设备平台中，不考虑其他形式的空调外机位，且不允许业主私自设置在除设备平台外的其它位置放置空调外机</w:t>
      </w:r>
      <w:r>
        <w:rPr>
          <w:rFonts w:hint="eastAsia" w:asciiTheme="minorEastAsia" w:hAnsiTheme="minorEastAsia"/>
          <w:bCs/>
          <w:color w:val="auto"/>
          <w:szCs w:val="21"/>
          <w:highlight w:val="none"/>
        </w:rPr>
        <w:t xml:space="preserve"> </w:t>
      </w:r>
      <w:r>
        <w:rPr>
          <w:rFonts w:hint="eastAsia" w:asciiTheme="minorEastAsia" w:hAnsiTheme="minorEastAsia"/>
          <w:bCs/>
          <w:color w:val="auto"/>
          <w:szCs w:val="21"/>
          <w:highlight w:val="none"/>
          <w:lang w:eastAsia="zh-CN"/>
        </w:rPr>
        <w:t>；建议安装中央空调</w:t>
      </w:r>
      <w:r>
        <w:rPr>
          <w:rFonts w:hint="eastAsia" w:asciiTheme="minorEastAsia" w:hAnsiTheme="minorEastAsia"/>
          <w:bCs/>
          <w:color w:val="auto"/>
          <w:szCs w:val="21"/>
          <w:highlight w:val="none"/>
        </w:rPr>
        <w:t xml:space="preserve"> </w:t>
      </w:r>
      <w:r>
        <w:rPr>
          <w:rFonts w:hint="eastAsia" w:asciiTheme="minorEastAsia" w:hAnsiTheme="minorEastAsia"/>
          <w:bCs/>
          <w:color w:val="auto"/>
          <w:szCs w:val="21"/>
          <w:highlight w:val="none"/>
          <w:lang w:eastAsia="zh-CN"/>
        </w:rPr>
        <w:t>。</w:t>
      </w:r>
    </w:p>
    <w:p>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420"/>
        <w:textAlignment w:val="auto"/>
        <w:rPr>
          <w:rFonts w:asciiTheme="minorEastAsia" w:hAnsiTheme="minorEastAsia"/>
          <w:bCs/>
          <w:color w:val="auto"/>
          <w:szCs w:val="21"/>
          <w:highlight w:val="none"/>
        </w:rPr>
      </w:pPr>
      <w:r>
        <w:rPr>
          <w:rFonts w:hint="eastAsia" w:asciiTheme="minorEastAsia" w:hAnsiTheme="minorEastAsia"/>
          <w:bCs/>
          <w:color w:val="auto"/>
          <w:szCs w:val="21"/>
          <w:highlight w:val="none"/>
        </w:rPr>
        <w:t>外立面不允许安装各类违章建筑；</w:t>
      </w:r>
    </w:p>
    <w:p>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420"/>
        <w:textAlignment w:val="auto"/>
        <w:rPr>
          <w:rFonts w:asciiTheme="minorEastAsia" w:hAnsiTheme="minorEastAsia"/>
          <w:bCs/>
          <w:color w:val="auto"/>
          <w:szCs w:val="21"/>
          <w:highlight w:val="none"/>
        </w:rPr>
      </w:pPr>
      <w:r>
        <w:rPr>
          <w:rFonts w:hint="eastAsia" w:asciiTheme="minorEastAsia" w:hAnsiTheme="minorEastAsia"/>
          <w:bCs/>
          <w:color w:val="auto"/>
          <w:szCs w:val="21"/>
          <w:highlight w:val="none"/>
        </w:rPr>
        <w:t xml:space="preserve">沿街商铺广告牌：必须按照原有定位和尺寸安装，不得另行安装；         </w:t>
      </w:r>
    </w:p>
    <w:p>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420"/>
        <w:textAlignment w:val="auto"/>
        <w:rPr>
          <w:rFonts w:asciiTheme="minorEastAsia" w:hAnsiTheme="minorEastAsia"/>
          <w:bCs/>
          <w:color w:val="auto"/>
          <w:szCs w:val="21"/>
          <w:highlight w:val="none"/>
        </w:rPr>
      </w:pPr>
      <w:r>
        <w:rPr>
          <w:rFonts w:hint="eastAsia" w:asciiTheme="minorEastAsia" w:hAnsiTheme="minorEastAsia"/>
          <w:bCs/>
          <w:color w:val="auto"/>
          <w:szCs w:val="21"/>
          <w:highlight w:val="none"/>
        </w:rPr>
        <w:t xml:space="preserve">业主委员会成立前的特别提示： </w:t>
      </w:r>
    </w:p>
    <w:p>
      <w:pPr>
        <w:keepNext w:val="0"/>
        <w:keepLines w:val="0"/>
        <w:pageBreakBefore w:val="0"/>
        <w:widowControl w:val="0"/>
        <w:numPr>
          <w:ilvl w:val="0"/>
          <w:numId w:val="10"/>
        </w:numPr>
        <w:kinsoku/>
        <w:wordWrap/>
        <w:overflowPunct/>
        <w:topLinePunct w:val="0"/>
        <w:autoSpaceDE/>
        <w:autoSpaceDN/>
        <w:bidi w:val="0"/>
        <w:adjustRightInd/>
        <w:snapToGrid/>
        <w:spacing w:line="400" w:lineRule="exact"/>
        <w:textAlignment w:val="auto"/>
        <w:rPr>
          <w:rFonts w:asciiTheme="minorEastAsia" w:hAnsiTheme="minorEastAsia"/>
          <w:bCs/>
          <w:color w:val="auto"/>
          <w:szCs w:val="21"/>
          <w:highlight w:val="none"/>
        </w:rPr>
      </w:pPr>
      <w:r>
        <w:rPr>
          <w:rFonts w:hint="eastAsia" w:asciiTheme="minorEastAsia" w:hAnsiTheme="minorEastAsia"/>
          <w:bCs/>
          <w:color w:val="auto"/>
          <w:szCs w:val="21"/>
          <w:highlight w:val="none"/>
        </w:rPr>
        <w:t xml:space="preserve">屋顶不搭建任何建筑物； </w:t>
      </w:r>
    </w:p>
    <w:p>
      <w:pPr>
        <w:keepNext w:val="0"/>
        <w:keepLines w:val="0"/>
        <w:pageBreakBefore w:val="0"/>
        <w:widowControl w:val="0"/>
        <w:numPr>
          <w:ilvl w:val="0"/>
          <w:numId w:val="10"/>
        </w:numPr>
        <w:kinsoku/>
        <w:wordWrap/>
        <w:overflowPunct/>
        <w:topLinePunct w:val="0"/>
        <w:autoSpaceDE/>
        <w:autoSpaceDN/>
        <w:bidi w:val="0"/>
        <w:adjustRightInd/>
        <w:snapToGrid/>
        <w:spacing w:line="400" w:lineRule="exact"/>
        <w:textAlignment w:val="auto"/>
        <w:rPr>
          <w:rFonts w:asciiTheme="minorEastAsia" w:hAnsiTheme="minorEastAsia"/>
          <w:bCs/>
          <w:color w:val="auto"/>
          <w:szCs w:val="21"/>
          <w:highlight w:val="none"/>
        </w:rPr>
      </w:pPr>
      <w:r>
        <w:rPr>
          <w:rFonts w:hint="eastAsia" w:asciiTheme="minorEastAsia" w:hAnsiTheme="minorEastAsia"/>
          <w:bCs/>
          <w:color w:val="auto"/>
          <w:szCs w:val="21"/>
          <w:highlight w:val="none"/>
        </w:rPr>
        <w:t>阳台包括顶层露台不能作任何封闭或者阳台窗；</w:t>
      </w:r>
    </w:p>
    <w:p>
      <w:pPr>
        <w:keepNext w:val="0"/>
        <w:keepLines w:val="0"/>
        <w:pageBreakBefore w:val="0"/>
        <w:widowControl w:val="0"/>
        <w:numPr>
          <w:ilvl w:val="0"/>
          <w:numId w:val="10"/>
        </w:numPr>
        <w:kinsoku/>
        <w:wordWrap/>
        <w:overflowPunct/>
        <w:topLinePunct w:val="0"/>
        <w:autoSpaceDE/>
        <w:autoSpaceDN/>
        <w:bidi w:val="0"/>
        <w:adjustRightInd/>
        <w:snapToGrid/>
        <w:spacing w:line="400" w:lineRule="exact"/>
        <w:textAlignment w:val="auto"/>
        <w:rPr>
          <w:rFonts w:asciiTheme="minorEastAsia" w:hAnsiTheme="minorEastAsia"/>
          <w:bCs/>
          <w:color w:val="auto"/>
          <w:szCs w:val="21"/>
          <w:highlight w:val="none"/>
        </w:rPr>
      </w:pPr>
      <w:r>
        <w:rPr>
          <w:rFonts w:hint="eastAsia" w:asciiTheme="minorEastAsia" w:hAnsiTheme="minorEastAsia"/>
          <w:bCs/>
          <w:color w:val="auto"/>
          <w:szCs w:val="21"/>
          <w:highlight w:val="none"/>
        </w:rPr>
        <w:t xml:space="preserve">室内飘窗不能外移； </w:t>
      </w:r>
    </w:p>
    <w:p>
      <w:pPr>
        <w:keepNext w:val="0"/>
        <w:keepLines w:val="0"/>
        <w:pageBreakBefore w:val="0"/>
        <w:widowControl w:val="0"/>
        <w:numPr>
          <w:ilvl w:val="0"/>
          <w:numId w:val="10"/>
        </w:numPr>
        <w:kinsoku/>
        <w:wordWrap/>
        <w:overflowPunct/>
        <w:topLinePunct w:val="0"/>
        <w:autoSpaceDE/>
        <w:autoSpaceDN/>
        <w:bidi w:val="0"/>
        <w:adjustRightInd/>
        <w:snapToGrid/>
        <w:spacing w:line="400" w:lineRule="exact"/>
        <w:textAlignment w:val="auto"/>
        <w:rPr>
          <w:rFonts w:asciiTheme="minorEastAsia" w:hAnsiTheme="minorEastAsia"/>
          <w:bCs/>
          <w:color w:val="auto"/>
          <w:szCs w:val="21"/>
          <w:highlight w:val="none"/>
        </w:rPr>
      </w:pPr>
      <w:r>
        <w:rPr>
          <w:rFonts w:hint="eastAsia" w:asciiTheme="minorEastAsia" w:hAnsiTheme="minorEastAsia"/>
          <w:bCs/>
          <w:color w:val="auto"/>
          <w:szCs w:val="21"/>
          <w:highlight w:val="none"/>
        </w:rPr>
        <w:t xml:space="preserve">如有违反无条件拆除或委托物业公司代为拆除。 </w:t>
      </w:r>
    </w:p>
    <w:p>
      <w:pPr>
        <w:spacing w:line="360" w:lineRule="auto"/>
        <w:ind w:left="420"/>
        <w:rPr>
          <w:rFonts w:asciiTheme="minorEastAsia" w:hAnsiTheme="minorEastAsia"/>
          <w:bCs/>
          <w:color w:val="auto"/>
          <w:szCs w:val="21"/>
          <w:highlight w:val="none"/>
        </w:rPr>
      </w:pPr>
    </w:p>
    <w:p>
      <w:pPr>
        <w:spacing w:line="360" w:lineRule="auto"/>
        <w:ind w:firstLine="310" w:firstLineChars="147"/>
        <w:rPr>
          <w:rFonts w:asciiTheme="minorEastAsia" w:hAnsiTheme="minorEastAsia"/>
          <w:bCs/>
          <w:color w:val="auto"/>
          <w:szCs w:val="21"/>
          <w:highlight w:val="none"/>
        </w:rPr>
      </w:pPr>
      <w:r>
        <w:rPr>
          <w:rFonts w:hint="eastAsia" w:asciiTheme="minorEastAsia" w:hAnsiTheme="minorEastAsia"/>
          <w:b/>
          <w:bCs/>
          <w:color w:val="auto"/>
          <w:szCs w:val="21"/>
          <w:highlight w:val="none"/>
        </w:rPr>
        <w:t>第三条</w:t>
      </w:r>
      <w:r>
        <w:rPr>
          <w:rFonts w:hint="eastAsia" w:asciiTheme="minorEastAsia" w:hAnsiTheme="minorEastAsia"/>
          <w:bCs/>
          <w:color w:val="auto"/>
          <w:szCs w:val="21"/>
          <w:highlight w:val="none"/>
        </w:rPr>
        <w:t xml:space="preserve">  前期物业管理服务内容  </w:t>
      </w:r>
    </w:p>
    <w:p>
      <w:pPr>
        <w:spacing w:line="360" w:lineRule="auto"/>
        <w:ind w:left="420"/>
        <w:rPr>
          <w:rFonts w:asciiTheme="minorEastAsia" w:hAnsiTheme="minorEastAsia"/>
          <w:color w:val="auto"/>
          <w:szCs w:val="21"/>
          <w:highlight w:val="none"/>
        </w:rPr>
      </w:pPr>
      <w:r>
        <w:rPr>
          <w:rFonts w:hint="eastAsia" w:asciiTheme="minorEastAsia" w:hAnsiTheme="minorEastAsia"/>
          <w:color w:val="auto"/>
          <w:szCs w:val="21"/>
          <w:highlight w:val="none"/>
        </w:rPr>
        <w:t xml:space="preserve">甲方应提供的管理服务内容： </w:t>
      </w:r>
    </w:p>
    <w:p>
      <w:pPr>
        <w:numPr>
          <w:ilvl w:val="0"/>
          <w:numId w:val="11"/>
        </w:numPr>
        <w:spacing w:line="360" w:lineRule="auto"/>
        <w:ind w:left="420"/>
        <w:rPr>
          <w:rFonts w:asciiTheme="minorEastAsia" w:hAnsiTheme="minorEastAsia"/>
          <w:color w:val="auto"/>
          <w:szCs w:val="21"/>
          <w:highlight w:val="none"/>
        </w:rPr>
      </w:pPr>
      <w:r>
        <w:rPr>
          <w:rFonts w:hint="eastAsia" w:asciiTheme="minorEastAsia" w:hAnsiTheme="minorEastAsia"/>
          <w:color w:val="auto"/>
          <w:szCs w:val="21"/>
          <w:highlight w:val="none"/>
        </w:rPr>
        <w:t xml:space="preserve">房屋共用部位的维护和管理 </w:t>
      </w:r>
    </w:p>
    <w:p>
      <w:pPr>
        <w:spacing w:line="360" w:lineRule="auto"/>
        <w:ind w:firstLine="420"/>
        <w:rPr>
          <w:rFonts w:asciiTheme="minorEastAsia" w:hAnsiTheme="minorEastAsia"/>
          <w:color w:val="auto"/>
          <w:szCs w:val="21"/>
          <w:highlight w:val="none"/>
        </w:rPr>
      </w:pPr>
      <w:r>
        <w:rPr>
          <w:rFonts w:hint="eastAsia" w:asciiTheme="minorEastAsia" w:hAnsiTheme="minorEastAsia"/>
          <w:color w:val="auto"/>
          <w:szCs w:val="21"/>
          <w:highlight w:val="none"/>
        </w:rPr>
        <w:t>共用部位是指房屋主体承重结构部位（包括基础、内外</w:t>
      </w:r>
      <w:r>
        <w:rPr>
          <w:rFonts w:hint="eastAsia" w:asciiTheme="minorEastAsia" w:hAnsiTheme="minorEastAsia"/>
          <w:color w:val="auto"/>
          <w:szCs w:val="21"/>
          <w:highlight w:val="none"/>
          <w:lang w:eastAsia="zh-CN"/>
        </w:rPr>
        <w:t>承</w:t>
      </w:r>
      <w:r>
        <w:rPr>
          <w:rFonts w:hint="eastAsia" w:asciiTheme="minorEastAsia" w:hAnsiTheme="minorEastAsia"/>
          <w:color w:val="auto"/>
          <w:szCs w:val="21"/>
          <w:highlight w:val="none"/>
        </w:rPr>
        <w:t xml:space="preserve">重墙体、柱、梁、楼板、屋顶等）、户外墙面、门厅、楼梯间、走廊通道等。 </w:t>
      </w:r>
    </w:p>
    <w:p>
      <w:pPr>
        <w:numPr>
          <w:ilvl w:val="0"/>
          <w:numId w:val="11"/>
        </w:numPr>
        <w:spacing w:line="360" w:lineRule="auto"/>
        <w:ind w:left="420"/>
        <w:rPr>
          <w:rFonts w:asciiTheme="minorEastAsia" w:hAnsiTheme="minorEastAsia"/>
          <w:color w:val="auto"/>
          <w:szCs w:val="21"/>
          <w:highlight w:val="none"/>
        </w:rPr>
      </w:pPr>
      <w:r>
        <w:rPr>
          <w:rFonts w:hint="eastAsia" w:asciiTheme="minorEastAsia" w:hAnsiTheme="minorEastAsia"/>
          <w:color w:val="auto"/>
          <w:szCs w:val="21"/>
          <w:highlight w:val="none"/>
        </w:rPr>
        <w:t xml:space="preserve">房屋共用设施设备的维护和管理 </w:t>
      </w:r>
    </w:p>
    <w:p>
      <w:pPr>
        <w:spacing w:line="360" w:lineRule="auto"/>
        <w:ind w:left="420"/>
        <w:rPr>
          <w:rFonts w:asciiTheme="minorEastAsia" w:hAnsiTheme="minorEastAsia"/>
          <w:color w:val="auto"/>
          <w:szCs w:val="21"/>
          <w:highlight w:val="none"/>
        </w:rPr>
      </w:pPr>
      <w:r>
        <w:rPr>
          <w:rFonts w:hint="eastAsia" w:asciiTheme="minorEastAsia" w:hAnsiTheme="minorEastAsia"/>
          <w:color w:val="auto"/>
          <w:szCs w:val="21"/>
          <w:highlight w:val="none"/>
        </w:rPr>
        <w:t>共用设施设备是指共用的上下水管道、落水管、电梯、共用照明、消防设施、绿地、道</w:t>
      </w:r>
    </w:p>
    <w:p>
      <w:p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路、沟渠、池、井、车场车库、公益性文体设备等。 </w:t>
      </w:r>
    </w:p>
    <w:p>
      <w:pPr>
        <w:numPr>
          <w:ilvl w:val="0"/>
          <w:numId w:val="11"/>
        </w:numPr>
        <w:spacing w:line="360" w:lineRule="auto"/>
        <w:ind w:left="420"/>
        <w:rPr>
          <w:rFonts w:asciiTheme="minorEastAsia" w:hAnsiTheme="minorEastAsia"/>
          <w:color w:val="auto"/>
          <w:szCs w:val="21"/>
          <w:highlight w:val="none"/>
        </w:rPr>
      </w:pPr>
      <w:r>
        <w:rPr>
          <w:rFonts w:hint="eastAsia" w:asciiTheme="minorEastAsia" w:hAnsiTheme="minorEastAsia"/>
          <w:color w:val="auto"/>
          <w:szCs w:val="21"/>
          <w:highlight w:val="none"/>
        </w:rPr>
        <w:t xml:space="preserve">安全防范 </w:t>
      </w:r>
    </w:p>
    <w:p>
      <w:pPr>
        <w:numPr>
          <w:ilvl w:val="0"/>
          <w:numId w:val="12"/>
        </w:numPr>
        <w:spacing w:line="360" w:lineRule="auto"/>
        <w:ind w:left="420"/>
        <w:rPr>
          <w:rFonts w:asciiTheme="minorEastAsia" w:hAnsiTheme="minorEastAsia"/>
          <w:color w:val="auto"/>
          <w:szCs w:val="21"/>
          <w:highlight w:val="none"/>
        </w:rPr>
      </w:pPr>
      <w:r>
        <w:rPr>
          <w:rFonts w:hint="eastAsia" w:asciiTheme="minorEastAsia" w:hAnsiTheme="minorEastAsia"/>
          <w:color w:val="auto"/>
          <w:szCs w:val="21"/>
          <w:highlight w:val="none"/>
        </w:rPr>
        <w:t xml:space="preserve">协助公安部门做好全小区内的秩序维护工作； </w:t>
      </w:r>
    </w:p>
    <w:p>
      <w:pPr>
        <w:numPr>
          <w:ilvl w:val="0"/>
          <w:numId w:val="12"/>
        </w:numPr>
        <w:spacing w:line="360" w:lineRule="auto"/>
        <w:ind w:left="420"/>
        <w:rPr>
          <w:rFonts w:asciiTheme="minorEastAsia" w:hAnsiTheme="minorEastAsia"/>
          <w:color w:val="auto"/>
          <w:szCs w:val="21"/>
          <w:highlight w:val="none"/>
        </w:rPr>
      </w:pPr>
      <w:r>
        <w:rPr>
          <w:rFonts w:hint="eastAsia" w:asciiTheme="minorEastAsia" w:hAnsiTheme="minorEastAsia"/>
          <w:color w:val="auto"/>
          <w:szCs w:val="21"/>
          <w:highlight w:val="none"/>
        </w:rPr>
        <w:t xml:space="preserve">建立门岗、安全监控值班制度； </w:t>
      </w:r>
    </w:p>
    <w:p>
      <w:pPr>
        <w:numPr>
          <w:ilvl w:val="0"/>
          <w:numId w:val="12"/>
        </w:numPr>
        <w:spacing w:line="360" w:lineRule="auto"/>
        <w:ind w:left="420"/>
        <w:rPr>
          <w:rFonts w:asciiTheme="minorEastAsia" w:hAnsiTheme="minorEastAsia"/>
          <w:color w:val="auto"/>
          <w:szCs w:val="21"/>
          <w:highlight w:val="none"/>
        </w:rPr>
      </w:pPr>
      <w:r>
        <w:rPr>
          <w:rFonts w:hint="eastAsia" w:asciiTheme="minorEastAsia" w:hAnsiTheme="minorEastAsia"/>
          <w:color w:val="auto"/>
          <w:szCs w:val="21"/>
          <w:highlight w:val="none"/>
        </w:rPr>
        <w:t xml:space="preserve">实行定时巡逻，巡视管区内人员，车辆活动等情况，维护管区内的秩序； </w:t>
      </w:r>
    </w:p>
    <w:p>
      <w:pPr>
        <w:numPr>
          <w:ilvl w:val="0"/>
          <w:numId w:val="12"/>
        </w:numPr>
        <w:spacing w:line="360" w:lineRule="auto"/>
        <w:ind w:left="420"/>
        <w:rPr>
          <w:rFonts w:asciiTheme="minorEastAsia" w:hAnsiTheme="minorEastAsia"/>
          <w:color w:val="auto"/>
          <w:szCs w:val="21"/>
          <w:highlight w:val="none"/>
        </w:rPr>
      </w:pPr>
      <w:r>
        <w:rPr>
          <w:rFonts w:hint="eastAsia" w:asciiTheme="minorEastAsia" w:hAnsiTheme="minorEastAsia"/>
          <w:color w:val="auto"/>
          <w:szCs w:val="21"/>
          <w:highlight w:val="none"/>
        </w:rPr>
        <w:t xml:space="preserve">地下车库实行定时巡逻，每班巡查车库车况，发现问题做好记录，及时处理； </w:t>
      </w:r>
    </w:p>
    <w:p>
      <w:pPr>
        <w:pStyle w:val="7"/>
        <w:numPr>
          <w:ilvl w:val="0"/>
          <w:numId w:val="12"/>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劝阻小区内未按规定燃放烟花爆竹，处理好违反规定存放在管区内易燃、易爆、剧</w:t>
      </w:r>
    </w:p>
    <w:p>
      <w:p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毒、放射性等物品和排放有害、有毒、危险物质等行为，并视情况上报有关部门处理。 </w:t>
      </w:r>
    </w:p>
    <w:p>
      <w:pPr>
        <w:numPr>
          <w:ilvl w:val="0"/>
          <w:numId w:val="11"/>
        </w:numPr>
        <w:spacing w:line="360" w:lineRule="auto"/>
        <w:ind w:left="420"/>
        <w:rPr>
          <w:rFonts w:asciiTheme="minorEastAsia" w:hAnsiTheme="minorEastAsia"/>
          <w:color w:val="auto"/>
          <w:szCs w:val="21"/>
          <w:highlight w:val="none"/>
        </w:rPr>
      </w:pPr>
      <w:r>
        <w:rPr>
          <w:rFonts w:hint="eastAsia" w:asciiTheme="minorEastAsia" w:hAnsiTheme="minorEastAsia"/>
          <w:color w:val="auto"/>
          <w:szCs w:val="21"/>
          <w:highlight w:val="none"/>
        </w:rPr>
        <w:t xml:space="preserve">交通秩序管理 </w:t>
      </w:r>
    </w:p>
    <w:p>
      <w:pPr>
        <w:pStyle w:val="7"/>
        <w:numPr>
          <w:ilvl w:val="0"/>
          <w:numId w:val="13"/>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机动车辆进出实行登记制度，在物业管区门口、车库入口处、区内道路等处设置车</w:t>
      </w:r>
    </w:p>
    <w:p>
      <w:p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辆行驶警示牌，维护管区内的停车秩序； </w:t>
      </w:r>
    </w:p>
    <w:p>
      <w:pPr>
        <w:pStyle w:val="7"/>
        <w:numPr>
          <w:ilvl w:val="0"/>
          <w:numId w:val="13"/>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管理和引导机动车辆按规定线路行驶和按指定或划线的车位停放，禁止</w:t>
      </w:r>
      <w:r>
        <w:rPr>
          <w:rFonts w:hint="eastAsia" w:asciiTheme="minorEastAsia" w:hAnsiTheme="minorEastAsia"/>
          <w:color w:val="auto"/>
          <w:szCs w:val="21"/>
          <w:highlight w:val="none"/>
          <w:lang w:val="en-US" w:eastAsia="zh-CN"/>
        </w:rPr>
        <w:t>载重</w:t>
      </w:r>
      <w:r>
        <w:rPr>
          <w:rFonts w:hint="eastAsia" w:asciiTheme="minorEastAsia" w:hAnsiTheme="minorEastAsia"/>
          <w:color w:val="auto"/>
          <w:szCs w:val="21"/>
          <w:highlight w:val="none"/>
        </w:rPr>
        <w:t xml:space="preserve">0.75吨以上的货车和大型客车进入小区停放； </w:t>
      </w:r>
    </w:p>
    <w:p>
      <w:pPr>
        <w:numPr>
          <w:ilvl w:val="0"/>
          <w:numId w:val="13"/>
        </w:num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劝导有私人车位的业主或物业使用人，将车辆停放在车库、车位内； </w:t>
      </w:r>
    </w:p>
    <w:p>
      <w:pPr>
        <w:numPr>
          <w:ilvl w:val="0"/>
          <w:numId w:val="13"/>
        </w:num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对影响卫生的车辆应在管区外冲洗干净后方可进入管区； </w:t>
      </w:r>
    </w:p>
    <w:p>
      <w:pPr>
        <w:numPr>
          <w:ilvl w:val="0"/>
          <w:numId w:val="13"/>
        </w:num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严格管理载有毒、有害、易爆物品的车辆进入管区内。 </w:t>
      </w:r>
    </w:p>
    <w:p>
      <w:pPr>
        <w:numPr>
          <w:ilvl w:val="0"/>
          <w:numId w:val="11"/>
        </w:numPr>
        <w:spacing w:line="360" w:lineRule="auto"/>
        <w:ind w:left="420"/>
        <w:rPr>
          <w:rFonts w:asciiTheme="minorEastAsia" w:hAnsiTheme="minorEastAsia"/>
          <w:color w:val="auto"/>
          <w:szCs w:val="21"/>
          <w:highlight w:val="none"/>
        </w:rPr>
      </w:pPr>
      <w:r>
        <w:rPr>
          <w:rFonts w:hint="eastAsia" w:asciiTheme="minorEastAsia" w:hAnsiTheme="minorEastAsia"/>
          <w:color w:val="auto"/>
          <w:szCs w:val="21"/>
          <w:highlight w:val="none"/>
        </w:rPr>
        <w:t xml:space="preserve">环境卫生管理  </w:t>
      </w:r>
    </w:p>
    <w:p>
      <w:pPr>
        <w:pStyle w:val="7"/>
        <w:numPr>
          <w:ilvl w:val="0"/>
          <w:numId w:val="14"/>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公共环境卫生实行滚动保洁，垃圾桶、果皮箱内垃圾每天清倒，做到生活垃圾日产</w:t>
      </w:r>
    </w:p>
    <w:p>
      <w:p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日清；地下车库的卫生实行定时清扫，基本无杂物、垃圾、积水： </w:t>
      </w:r>
    </w:p>
    <w:p>
      <w:pPr>
        <w:pStyle w:val="7"/>
        <w:numPr>
          <w:ilvl w:val="0"/>
          <w:numId w:val="14"/>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绿地卫生每天巡视、清洁，绿地基本无杂物、垃圾、果皮、纸屑 ；  </w:t>
      </w:r>
    </w:p>
    <w:p>
      <w:pPr>
        <w:numPr>
          <w:ilvl w:val="0"/>
          <w:numId w:val="14"/>
        </w:num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楼道卫生每周定时清扫、拖洗，保持楼道整洁。楼梯间窗玻璃定期擦洗。楼梯间或</w:t>
      </w:r>
    </w:p>
    <w:p>
      <w:p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楼道墙面，目视无蜘蛛网或明显污迹； </w:t>
      </w:r>
    </w:p>
    <w:p>
      <w:pPr>
        <w:numPr>
          <w:ilvl w:val="0"/>
          <w:numId w:val="14"/>
        </w:num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公共设备房及车库窗外玻璃定期擦洗； </w:t>
      </w:r>
    </w:p>
    <w:p>
      <w:pPr>
        <w:numPr>
          <w:ilvl w:val="0"/>
          <w:numId w:val="14"/>
        </w:num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各种设备房地面保持整洁、无杂物堆放；电梯轿厢每天不定时保洁； </w:t>
      </w:r>
    </w:p>
    <w:p>
      <w:pPr>
        <w:numPr>
          <w:ilvl w:val="0"/>
          <w:numId w:val="14"/>
        </w:num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建筑装潢垃圾指定位置堆放，定期清运 。</w:t>
      </w:r>
    </w:p>
    <w:p>
      <w:pPr>
        <w:numPr>
          <w:ilvl w:val="0"/>
          <w:numId w:val="11"/>
        </w:numPr>
        <w:spacing w:line="360" w:lineRule="auto"/>
        <w:ind w:left="420"/>
        <w:rPr>
          <w:rFonts w:asciiTheme="minorEastAsia" w:hAnsiTheme="minorEastAsia"/>
          <w:color w:val="auto"/>
          <w:szCs w:val="21"/>
          <w:highlight w:val="none"/>
        </w:rPr>
      </w:pPr>
      <w:r>
        <w:rPr>
          <w:rFonts w:hint="eastAsia" w:asciiTheme="minorEastAsia" w:hAnsiTheme="minorEastAsia"/>
          <w:color w:val="auto"/>
          <w:szCs w:val="21"/>
          <w:highlight w:val="none"/>
        </w:rPr>
        <w:t xml:space="preserve">园林、绿化管理 </w:t>
      </w:r>
    </w:p>
    <w:p>
      <w:pPr>
        <w:pStyle w:val="7"/>
        <w:numPr>
          <w:ilvl w:val="0"/>
          <w:numId w:val="15"/>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适时对绿化进行杂草清除，并做好除虫、修剪、整枝工作，旱、涝季节及时做好防</w:t>
      </w:r>
    </w:p>
    <w:p>
      <w:p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旱排涝工作，保证花草树木的正常生长； </w:t>
      </w:r>
    </w:p>
    <w:p>
      <w:pPr>
        <w:pStyle w:val="7"/>
        <w:numPr>
          <w:ilvl w:val="0"/>
          <w:numId w:val="15"/>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制止攀折花木及在树木上晾晒衣服行为； </w:t>
      </w:r>
    </w:p>
    <w:p>
      <w:pPr>
        <w:numPr>
          <w:ilvl w:val="0"/>
          <w:numId w:val="15"/>
        </w:num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设置爱护绿化等温馨提示牌 。</w:t>
      </w:r>
    </w:p>
    <w:p>
      <w:pPr>
        <w:numPr>
          <w:ilvl w:val="0"/>
          <w:numId w:val="11"/>
        </w:numPr>
        <w:spacing w:line="360" w:lineRule="auto"/>
        <w:ind w:left="420"/>
        <w:rPr>
          <w:rFonts w:asciiTheme="minorEastAsia" w:hAnsiTheme="minorEastAsia"/>
          <w:color w:val="auto"/>
          <w:szCs w:val="21"/>
          <w:highlight w:val="none"/>
        </w:rPr>
      </w:pPr>
      <w:r>
        <w:rPr>
          <w:rFonts w:hint="eastAsia" w:asciiTheme="minorEastAsia" w:hAnsiTheme="minorEastAsia"/>
          <w:color w:val="auto"/>
          <w:szCs w:val="21"/>
          <w:highlight w:val="none"/>
        </w:rPr>
        <w:t xml:space="preserve">房屋装修管理 </w:t>
      </w:r>
    </w:p>
    <w:p>
      <w:pPr>
        <w:pStyle w:val="7"/>
        <w:numPr>
          <w:ilvl w:val="0"/>
          <w:numId w:val="16"/>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制定房屋装修装饰管理服务制度，做好装饰装修管理工作； </w:t>
      </w:r>
    </w:p>
    <w:p>
      <w:pPr>
        <w:pStyle w:val="7"/>
        <w:numPr>
          <w:ilvl w:val="0"/>
          <w:numId w:val="16"/>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按规定工作日做好业主二次装饰装修备案工作； </w:t>
      </w:r>
    </w:p>
    <w:p>
      <w:pPr>
        <w:pStyle w:val="7"/>
        <w:numPr>
          <w:ilvl w:val="0"/>
          <w:numId w:val="16"/>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装修期间，对装修现场进行巡视与检查，加强治安、消防和房屋安全管理，对</w:t>
      </w:r>
    </w:p>
    <w:p>
      <w:p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进出小区的装修车辆、装修人员实行出入证管理，配合相关部门调解因装修引发的邻里纠纷；   </w:t>
      </w:r>
    </w:p>
    <w:p>
      <w:pPr>
        <w:spacing w:line="36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4、积极协助业主进行装修后的检查验收工作。对违反装修协议的要提出处理意见和劝</w:t>
      </w:r>
    </w:p>
    <w:p>
      <w:p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阻，问题严重的提请有关政府部门处理。 </w:t>
      </w:r>
    </w:p>
    <w:p>
      <w:pPr>
        <w:numPr>
          <w:ilvl w:val="0"/>
          <w:numId w:val="11"/>
        </w:numPr>
        <w:spacing w:line="360" w:lineRule="auto"/>
        <w:ind w:left="420"/>
        <w:rPr>
          <w:rFonts w:asciiTheme="minorEastAsia" w:hAnsiTheme="minorEastAsia"/>
          <w:color w:val="auto"/>
          <w:szCs w:val="21"/>
          <w:highlight w:val="none"/>
        </w:rPr>
      </w:pPr>
      <w:r>
        <w:rPr>
          <w:rFonts w:hint="eastAsia" w:asciiTheme="minorEastAsia" w:hAnsiTheme="minorEastAsia"/>
          <w:color w:val="auto"/>
          <w:szCs w:val="21"/>
          <w:highlight w:val="none"/>
        </w:rPr>
        <w:t xml:space="preserve">消防管理  </w:t>
      </w:r>
    </w:p>
    <w:p>
      <w:pPr>
        <w:pStyle w:val="7"/>
        <w:numPr>
          <w:ilvl w:val="0"/>
          <w:numId w:val="17"/>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对消防监控系统实行24小时值班，做好消防器材、设施的维护检查，并做好检查</w:t>
      </w:r>
    </w:p>
    <w:p>
      <w:p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记录。灭火器检查后应张贴或挂上检查标志，保证消防设备设施正常使用； </w:t>
      </w:r>
    </w:p>
    <w:p>
      <w:pPr>
        <w:spacing w:line="36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2、制定火警应急处理预案，每年不少于一次组织消防队员进行培训、演练，熟悉掌握</w:t>
      </w:r>
    </w:p>
    <w:p>
      <w:p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火灾发生应急处理方法。 </w:t>
      </w:r>
    </w:p>
    <w:p>
      <w:pPr>
        <w:numPr>
          <w:ilvl w:val="0"/>
          <w:numId w:val="11"/>
        </w:numPr>
        <w:spacing w:line="360" w:lineRule="auto"/>
        <w:ind w:left="420"/>
        <w:rPr>
          <w:rFonts w:asciiTheme="minorEastAsia" w:hAnsiTheme="minorEastAsia"/>
          <w:color w:val="auto"/>
          <w:szCs w:val="21"/>
          <w:highlight w:val="none"/>
        </w:rPr>
      </w:pPr>
      <w:r>
        <w:rPr>
          <w:rFonts w:hint="eastAsia" w:asciiTheme="minorEastAsia" w:hAnsiTheme="minorEastAsia"/>
          <w:color w:val="auto"/>
          <w:szCs w:val="21"/>
          <w:highlight w:val="none"/>
        </w:rPr>
        <w:t xml:space="preserve">文明建设 </w:t>
      </w:r>
    </w:p>
    <w:p>
      <w:pPr>
        <w:spacing w:line="360" w:lineRule="auto"/>
        <w:ind w:left="420"/>
        <w:rPr>
          <w:rFonts w:asciiTheme="minorEastAsia" w:hAnsiTheme="minorEastAsia"/>
          <w:color w:val="auto"/>
          <w:szCs w:val="21"/>
          <w:highlight w:val="none"/>
        </w:rPr>
      </w:pPr>
      <w:r>
        <w:rPr>
          <w:rFonts w:hint="eastAsia" w:asciiTheme="minorEastAsia" w:hAnsiTheme="minorEastAsia"/>
          <w:color w:val="auto"/>
          <w:szCs w:val="21"/>
          <w:highlight w:val="none"/>
        </w:rPr>
        <w:t xml:space="preserve">协助社区居委会，积极开展文化娱乐活动，增强业主之间的交流，创建文明社区。 </w:t>
      </w:r>
    </w:p>
    <w:p>
      <w:pPr>
        <w:spacing w:line="360" w:lineRule="auto"/>
        <w:ind w:left="420"/>
        <w:rPr>
          <w:rFonts w:asciiTheme="minorEastAsia" w:hAnsiTheme="minorEastAsia"/>
          <w:color w:val="auto"/>
          <w:szCs w:val="21"/>
          <w:highlight w:val="none"/>
        </w:rPr>
      </w:pPr>
    </w:p>
    <w:p>
      <w:pPr>
        <w:spacing w:line="360" w:lineRule="auto"/>
        <w:ind w:firstLine="413" w:firstLineChars="196"/>
        <w:rPr>
          <w:rFonts w:asciiTheme="minorEastAsia" w:hAnsiTheme="minorEastAsia"/>
          <w:bCs/>
          <w:color w:val="auto"/>
          <w:szCs w:val="21"/>
          <w:highlight w:val="none"/>
        </w:rPr>
      </w:pPr>
      <w:r>
        <w:rPr>
          <w:rFonts w:hint="eastAsia" w:asciiTheme="minorEastAsia" w:hAnsiTheme="minorEastAsia"/>
          <w:b/>
          <w:bCs/>
          <w:color w:val="auto"/>
          <w:szCs w:val="21"/>
          <w:highlight w:val="none"/>
        </w:rPr>
        <w:t>第四条</w:t>
      </w:r>
      <w:r>
        <w:rPr>
          <w:rFonts w:hint="eastAsia" w:asciiTheme="minorEastAsia" w:hAnsiTheme="minorEastAsia"/>
          <w:bCs/>
          <w:color w:val="auto"/>
          <w:szCs w:val="21"/>
          <w:highlight w:val="none"/>
        </w:rPr>
        <w:t xml:space="preserve">  物业管理服务费用 </w:t>
      </w:r>
    </w:p>
    <w:p>
      <w:pPr>
        <w:numPr>
          <w:ilvl w:val="0"/>
          <w:numId w:val="18"/>
        </w:numPr>
        <w:spacing w:line="360" w:lineRule="auto"/>
        <w:ind w:left="420"/>
        <w:rPr>
          <w:rFonts w:asciiTheme="minorEastAsia" w:hAnsiTheme="minorEastAsia"/>
          <w:color w:val="auto"/>
          <w:szCs w:val="21"/>
          <w:highlight w:val="none"/>
        </w:rPr>
      </w:pPr>
      <w:r>
        <w:rPr>
          <w:rFonts w:hint="eastAsia" w:asciiTheme="minorEastAsia" w:hAnsiTheme="minorEastAsia"/>
          <w:color w:val="auto"/>
          <w:szCs w:val="21"/>
          <w:highlight w:val="none"/>
        </w:rPr>
        <w:t xml:space="preserve"> 物业管理服务费的收取 </w:t>
      </w:r>
    </w:p>
    <w:p>
      <w:p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    本物业的管理服务费按物价部门有关规定或备案的标准收取，建筑面积以房屋产权证面积为准。 </w:t>
      </w:r>
    </w:p>
    <w:p>
      <w:pPr>
        <w:spacing w:line="36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 xml:space="preserve">1、物业管理综合服务费，按业主或物业使用人拥有的建筑面积计算： </w:t>
      </w:r>
    </w:p>
    <w:p>
      <w:pPr>
        <w:numPr>
          <w:ilvl w:val="0"/>
          <w:numId w:val="19"/>
        </w:num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高层住宅：</w:t>
      </w:r>
      <w:r>
        <w:rPr>
          <w:rFonts w:hint="eastAsia" w:asciiTheme="minorEastAsia" w:hAnsiTheme="minorEastAsia"/>
          <w:color w:val="auto"/>
          <w:szCs w:val="21"/>
          <w:highlight w:val="none"/>
          <w:lang w:val="en-US" w:eastAsia="zh-CN"/>
        </w:rPr>
        <w:t>2.58</w:t>
      </w:r>
      <w:r>
        <w:rPr>
          <w:rFonts w:hint="eastAsia" w:asciiTheme="minorEastAsia" w:hAnsiTheme="minorEastAsia"/>
          <w:color w:val="auto"/>
          <w:szCs w:val="21"/>
          <w:highlight w:val="none"/>
        </w:rPr>
        <w:t>元／平方米·月；</w:t>
      </w:r>
    </w:p>
    <w:p>
      <w:pPr>
        <w:numPr>
          <w:ilvl w:val="0"/>
          <w:numId w:val="19"/>
        </w:num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lang w:val="en-US" w:eastAsia="zh-CN"/>
        </w:rPr>
        <w:t>办公</w:t>
      </w:r>
      <w:r>
        <w:rPr>
          <w:rFonts w:hint="eastAsia" w:asciiTheme="minorEastAsia" w:hAnsiTheme="minorEastAsia"/>
          <w:color w:val="auto"/>
          <w:szCs w:val="21"/>
          <w:highlight w:val="none"/>
          <w:lang w:eastAsia="zh-CN"/>
        </w:rPr>
        <w:t>：</w:t>
      </w:r>
      <w:r>
        <w:rPr>
          <w:rFonts w:hint="default" w:asciiTheme="minorEastAsia" w:hAnsiTheme="minorEastAsia"/>
          <w:color w:val="auto"/>
          <w:szCs w:val="21"/>
          <w:highlight w:val="none"/>
          <w:lang w:val="en-US" w:eastAsia="zh-CN"/>
        </w:rPr>
        <w:t>4.</w:t>
      </w:r>
      <w:r>
        <w:rPr>
          <w:rFonts w:hint="eastAsia" w:asciiTheme="minorEastAsia" w:hAnsiTheme="minorEastAsia"/>
          <w:color w:val="auto"/>
          <w:szCs w:val="21"/>
          <w:highlight w:val="none"/>
          <w:lang w:val="en-US" w:eastAsia="zh-CN"/>
        </w:rPr>
        <w:t>00元</w:t>
      </w:r>
      <w:r>
        <w:rPr>
          <w:rFonts w:hint="eastAsia" w:asciiTheme="minorEastAsia" w:hAnsiTheme="minorEastAsia"/>
          <w:color w:val="auto"/>
          <w:szCs w:val="21"/>
          <w:highlight w:val="none"/>
        </w:rPr>
        <w:t>／平方米·月；</w:t>
      </w:r>
    </w:p>
    <w:p>
      <w:pPr>
        <w:numPr>
          <w:ilvl w:val="0"/>
          <w:numId w:val="19"/>
        </w:num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商业用房：</w:t>
      </w:r>
      <w:r>
        <w:rPr>
          <w:rFonts w:hint="eastAsia" w:asciiTheme="minorEastAsia" w:hAnsiTheme="minorEastAsia"/>
          <w:color w:val="auto"/>
          <w:szCs w:val="21"/>
          <w:highlight w:val="none"/>
          <w:lang w:val="en-US" w:eastAsia="zh-CN"/>
        </w:rPr>
        <w:t>4</w:t>
      </w:r>
      <w:r>
        <w:rPr>
          <w:rFonts w:hint="eastAsia" w:asciiTheme="minorEastAsia" w:hAnsiTheme="minorEastAsia"/>
          <w:color w:val="auto"/>
          <w:szCs w:val="21"/>
          <w:highlight w:val="none"/>
        </w:rPr>
        <w:t>.</w:t>
      </w:r>
      <w:r>
        <w:rPr>
          <w:rFonts w:hint="eastAsia" w:asciiTheme="minorEastAsia" w:hAnsiTheme="minorEastAsia"/>
          <w:color w:val="auto"/>
          <w:szCs w:val="21"/>
          <w:highlight w:val="none"/>
          <w:lang w:val="en-US" w:eastAsia="zh-CN"/>
        </w:rPr>
        <w:t>2</w:t>
      </w:r>
      <w:r>
        <w:rPr>
          <w:rFonts w:hint="eastAsia" w:asciiTheme="minorEastAsia" w:hAnsiTheme="minorEastAsia"/>
          <w:color w:val="auto"/>
          <w:szCs w:val="21"/>
          <w:highlight w:val="none"/>
        </w:rPr>
        <w:t>元／平方米·月；</w:t>
      </w:r>
    </w:p>
    <w:p>
      <w:pPr>
        <w:numPr>
          <w:ilvl w:val="0"/>
          <w:numId w:val="19"/>
        </w:num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车位：</w:t>
      </w:r>
      <w:r>
        <w:rPr>
          <w:rFonts w:hint="eastAsia" w:asciiTheme="minorEastAsia" w:hAnsiTheme="minorEastAsia"/>
          <w:color w:val="auto"/>
          <w:szCs w:val="21"/>
          <w:highlight w:val="none"/>
          <w:lang w:val="en-US" w:eastAsia="zh-CN"/>
        </w:rPr>
        <w:t>60</w:t>
      </w:r>
      <w:r>
        <w:rPr>
          <w:rFonts w:hint="eastAsia" w:asciiTheme="minorEastAsia" w:hAnsiTheme="minorEastAsia"/>
          <w:color w:val="auto"/>
          <w:szCs w:val="21"/>
          <w:highlight w:val="none"/>
        </w:rPr>
        <w:t>元／只·月</w:t>
      </w:r>
      <w:r>
        <w:rPr>
          <w:rFonts w:hint="eastAsia" w:asciiTheme="minorEastAsia" w:hAnsiTheme="minorEastAsia"/>
          <w:color w:val="auto"/>
          <w:szCs w:val="21"/>
          <w:highlight w:val="none"/>
          <w:lang w:eastAsia="zh-CN"/>
        </w:rPr>
        <w:t>。</w:t>
      </w:r>
    </w:p>
    <w:p>
      <w:pPr>
        <w:numPr>
          <w:ilvl w:val="0"/>
          <w:numId w:val="19"/>
        </w:numPr>
        <w:spacing w:line="360" w:lineRule="auto"/>
        <w:rPr>
          <w:rFonts w:asciiTheme="minorEastAsia" w:hAnsiTheme="minorEastAsia"/>
          <w:color w:val="auto"/>
          <w:szCs w:val="21"/>
          <w:highlight w:val="none"/>
        </w:rPr>
      </w:pPr>
      <w:r>
        <w:rPr>
          <w:rFonts w:hint="eastAsia"/>
          <w:color w:val="auto"/>
        </w:rPr>
        <w:t>储藏室</w:t>
      </w:r>
      <w:r>
        <w:rPr>
          <w:rFonts w:hint="eastAsia"/>
          <w:color w:val="auto"/>
          <w:lang w:eastAsia="zh-CN"/>
        </w:rPr>
        <w:t>：</w:t>
      </w:r>
      <w:r>
        <w:rPr>
          <w:rFonts w:hint="eastAsia"/>
          <w:color w:val="auto"/>
          <w:lang w:val="en-US" w:eastAsia="zh-CN"/>
        </w:rPr>
        <w:t>1.3</w:t>
      </w:r>
      <w:r>
        <w:rPr>
          <w:rFonts w:hint="eastAsia" w:asciiTheme="minorEastAsia" w:hAnsiTheme="minorEastAsia"/>
          <w:color w:val="auto"/>
          <w:szCs w:val="21"/>
          <w:highlight w:val="none"/>
          <w:lang w:val="en-US" w:eastAsia="zh-CN"/>
        </w:rPr>
        <w:t>元</w:t>
      </w:r>
      <w:r>
        <w:rPr>
          <w:rFonts w:hint="eastAsia" w:asciiTheme="minorEastAsia" w:hAnsiTheme="minorEastAsia"/>
          <w:color w:val="auto"/>
          <w:szCs w:val="21"/>
          <w:highlight w:val="none"/>
        </w:rPr>
        <w:t>／平方米·月</w:t>
      </w:r>
    </w:p>
    <w:p>
      <w:p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上述物业管理费用首次预交一年；以后每年缴纳一次，每次交纳费用时间为</w:t>
      </w:r>
      <w:r>
        <w:rPr>
          <w:rFonts w:hint="eastAsia" w:asciiTheme="minorEastAsia" w:hAnsiTheme="minorEastAsia"/>
          <w:color w:val="auto"/>
          <w:szCs w:val="21"/>
          <w:highlight w:val="none"/>
          <w:lang w:eastAsia="zh-CN"/>
        </w:rPr>
        <w:t>物业费到期后</w:t>
      </w:r>
      <w:r>
        <w:rPr>
          <w:rFonts w:hint="eastAsia" w:asciiTheme="minorEastAsia" w:hAnsiTheme="minorEastAsia"/>
          <w:color w:val="auto"/>
          <w:szCs w:val="21"/>
          <w:highlight w:val="none"/>
        </w:rPr>
        <w:t>首月</w:t>
      </w:r>
      <w:r>
        <w:rPr>
          <w:rFonts w:hint="eastAsia" w:asciiTheme="minorEastAsia" w:hAnsiTheme="minorEastAsia"/>
          <w:color w:val="auto"/>
          <w:szCs w:val="21"/>
          <w:highlight w:val="none"/>
          <w:lang w:val="en-US" w:eastAsia="zh-CN"/>
        </w:rPr>
        <w:t>15日前</w:t>
      </w:r>
      <w:r>
        <w:rPr>
          <w:rFonts w:hint="eastAsia" w:asciiTheme="minorEastAsia" w:hAnsiTheme="minorEastAsia"/>
          <w:color w:val="auto"/>
          <w:szCs w:val="21"/>
          <w:highlight w:val="none"/>
        </w:rPr>
        <w:t xml:space="preserve">。 </w:t>
      </w:r>
    </w:p>
    <w:p>
      <w:pPr>
        <w:pStyle w:val="7"/>
        <w:numPr>
          <w:ilvl w:val="1"/>
          <w:numId w:val="19"/>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本物业管理服务费标准的调整，按台州市物业管理综合服务收费资质考核评定后调</w:t>
      </w:r>
    </w:p>
    <w:p>
      <w:p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整；</w:t>
      </w:r>
    </w:p>
    <w:p>
      <w:pPr>
        <w:pStyle w:val="7"/>
        <w:numPr>
          <w:ilvl w:val="1"/>
          <w:numId w:val="19"/>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业主出租物业时，其应交纳的物业管理服务费，业主与物业使用人另有约定的，从</w:t>
      </w:r>
    </w:p>
    <w:p>
      <w:p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其约定，但业主应将此约定送甲方备案并负连带缴纳责任； </w:t>
      </w:r>
    </w:p>
    <w:p>
      <w:pPr>
        <w:pStyle w:val="7"/>
        <w:numPr>
          <w:ilvl w:val="1"/>
          <w:numId w:val="19"/>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水泵、共用车库、楼道照明等运作能耗费用，物价部门已有规定的按规定执行，未</w:t>
      </w:r>
    </w:p>
    <w:p>
      <w:p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规定的按实际发生的费用由集体使用人共同分摊； </w:t>
      </w:r>
    </w:p>
    <w:p>
      <w:pPr>
        <w:pStyle w:val="7"/>
        <w:numPr>
          <w:ilvl w:val="1"/>
          <w:numId w:val="19"/>
        </w:numPr>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业主领取钥匙时，应结清欠缴的物业管理费用，并缴纳本年度的物业管理费； </w:t>
      </w:r>
    </w:p>
    <w:p>
      <w:pPr>
        <w:pStyle w:val="7"/>
        <w:spacing w:line="360" w:lineRule="auto"/>
        <w:ind w:left="105" w:leftChars="50" w:firstLine="315" w:firstLineChars="150"/>
        <w:rPr>
          <w:rFonts w:asciiTheme="minorEastAsia" w:hAnsiTheme="minorEastAsia"/>
          <w:color w:val="auto"/>
          <w:szCs w:val="21"/>
          <w:highlight w:val="none"/>
        </w:rPr>
      </w:pPr>
      <w:r>
        <w:rPr>
          <w:rFonts w:hint="eastAsia" w:asciiTheme="minorEastAsia" w:hAnsiTheme="minorEastAsia"/>
          <w:color w:val="auto"/>
          <w:szCs w:val="21"/>
          <w:highlight w:val="none"/>
        </w:rPr>
        <w:t>7、物业管理费用：以通知办理</w:t>
      </w:r>
      <w:r>
        <w:rPr>
          <w:rFonts w:hint="eastAsia" w:asciiTheme="minorEastAsia" w:hAnsiTheme="minorEastAsia"/>
          <w:color w:val="auto"/>
          <w:szCs w:val="21"/>
          <w:highlight w:val="none"/>
          <w:lang w:eastAsia="zh-CN"/>
        </w:rPr>
        <w:t>交房</w:t>
      </w:r>
      <w:r>
        <w:rPr>
          <w:rFonts w:hint="eastAsia" w:asciiTheme="minorEastAsia" w:hAnsiTheme="minorEastAsia"/>
          <w:color w:val="auto"/>
          <w:szCs w:val="21"/>
          <w:highlight w:val="none"/>
        </w:rPr>
        <w:t>日期（开发商开具的</w:t>
      </w:r>
      <w:r>
        <w:rPr>
          <w:rFonts w:hint="eastAsia" w:asciiTheme="minorEastAsia" w:hAnsiTheme="minorEastAsia"/>
          <w:color w:val="auto"/>
          <w:szCs w:val="21"/>
          <w:highlight w:val="none"/>
          <w:lang w:eastAsia="zh-CN"/>
        </w:rPr>
        <w:t>《</w:t>
      </w:r>
      <w:r>
        <w:rPr>
          <w:rFonts w:hint="eastAsia" w:asciiTheme="minorEastAsia" w:hAnsiTheme="minorEastAsia"/>
          <w:color w:val="auto"/>
          <w:szCs w:val="21"/>
          <w:highlight w:val="none"/>
        </w:rPr>
        <w:t>交房通知书</w:t>
      </w:r>
      <w:r>
        <w:rPr>
          <w:rFonts w:hint="eastAsia" w:asciiTheme="minorEastAsia" w:hAnsiTheme="minorEastAsia"/>
          <w:color w:val="auto"/>
          <w:szCs w:val="21"/>
          <w:highlight w:val="none"/>
          <w:lang w:eastAsia="zh-CN"/>
        </w:rPr>
        <w:t>》</w:t>
      </w:r>
      <w:r>
        <w:rPr>
          <w:rFonts w:hint="eastAsia" w:asciiTheme="minorEastAsia" w:hAnsiTheme="minorEastAsia"/>
          <w:color w:val="auto"/>
          <w:szCs w:val="21"/>
          <w:highlight w:val="none"/>
        </w:rPr>
        <w:t>日期）之日起次月</w:t>
      </w:r>
      <w:r>
        <w:rPr>
          <w:rFonts w:hint="eastAsia" w:asciiTheme="minorEastAsia" w:hAnsiTheme="minorEastAsia"/>
          <w:color w:val="auto"/>
          <w:szCs w:val="21"/>
          <w:highlight w:val="none"/>
          <w:lang w:val="en-US" w:eastAsia="zh-CN"/>
        </w:rPr>
        <w:t>1号开始</w:t>
      </w:r>
      <w:r>
        <w:rPr>
          <w:rFonts w:hint="eastAsia" w:asciiTheme="minorEastAsia" w:hAnsiTheme="minorEastAsia"/>
          <w:color w:val="auto"/>
          <w:szCs w:val="21"/>
          <w:highlight w:val="none"/>
        </w:rPr>
        <w:t xml:space="preserve">计收物业管理费。 </w:t>
      </w:r>
    </w:p>
    <w:p>
      <w:pPr>
        <w:pStyle w:val="7"/>
        <w:numPr>
          <w:ilvl w:val="0"/>
          <w:numId w:val="20"/>
        </w:numPr>
        <w:spacing w:line="360" w:lineRule="auto"/>
        <w:ind w:firstLineChars="0"/>
        <w:rPr>
          <w:rFonts w:asciiTheme="minorEastAsia" w:hAnsiTheme="minorEastAsia"/>
          <w:color w:val="auto"/>
          <w:szCs w:val="21"/>
          <w:highlight w:val="none"/>
        </w:rPr>
      </w:pPr>
      <w:r>
        <w:rPr>
          <w:rFonts w:hint="eastAsia"/>
          <w:color w:val="auto"/>
          <w:highlight w:val="none"/>
        </w:rPr>
        <w:t>乙方</w:t>
      </w:r>
      <w:r>
        <w:rPr>
          <w:rFonts w:hint="eastAsia"/>
          <w:color w:val="auto"/>
          <w:highlight w:val="none"/>
          <w:lang w:eastAsia="zh-CN"/>
        </w:rPr>
        <w:t>办理装修手续</w:t>
      </w:r>
      <w:r>
        <w:rPr>
          <w:rFonts w:hint="eastAsia"/>
          <w:color w:val="auto"/>
          <w:highlight w:val="none"/>
        </w:rPr>
        <w:t>时，一次性缴清装修押金（住宅2000元/户）和建筑装</w:t>
      </w:r>
      <w:r>
        <w:rPr>
          <w:rFonts w:hint="eastAsia"/>
          <w:color w:val="auto"/>
          <w:highlight w:val="none"/>
          <w:lang w:eastAsia="zh-CN"/>
        </w:rPr>
        <w:t>，</w:t>
      </w:r>
      <w:r>
        <w:rPr>
          <w:rFonts w:hint="eastAsia"/>
          <w:color w:val="auto"/>
          <w:highlight w:val="none"/>
        </w:rPr>
        <w:t>潢垃圾清运费；装修完毕经小区物管处验收合格后予以退还装修押金。</w:t>
      </w:r>
      <w:r>
        <w:rPr>
          <w:rFonts w:hint="eastAsia" w:asciiTheme="minorEastAsia" w:hAnsiTheme="minorEastAsia"/>
          <w:color w:val="auto"/>
          <w:szCs w:val="21"/>
          <w:highlight w:val="none"/>
        </w:rPr>
        <w:t>建筑装潢垃圾清运费</w:t>
      </w:r>
      <w:r>
        <w:rPr>
          <w:rFonts w:hint="eastAsia"/>
          <w:color w:val="auto"/>
          <w:highlight w:val="none"/>
        </w:rPr>
        <w:t>收取标准结合交房当年市场价格情况，依照中盛物业在</w:t>
      </w:r>
      <w:r>
        <w:rPr>
          <w:rFonts w:hint="eastAsia"/>
          <w:color w:val="auto"/>
          <w:highlight w:val="none"/>
          <w:lang w:eastAsia="zh-CN"/>
        </w:rPr>
        <w:t>悦江府小区</w:t>
      </w:r>
      <w:r>
        <w:rPr>
          <w:rFonts w:hint="eastAsia"/>
          <w:color w:val="auto"/>
          <w:highlight w:val="none"/>
        </w:rPr>
        <w:t>内通告的价格为准</w:t>
      </w:r>
      <w:r>
        <w:rPr>
          <w:rFonts w:hint="eastAsia" w:asciiTheme="minorEastAsia" w:hAnsiTheme="minorEastAsia"/>
          <w:color w:val="auto"/>
          <w:szCs w:val="21"/>
          <w:highlight w:val="none"/>
        </w:rPr>
        <w:t xml:space="preserve">，一次性交纳。清运前由业主自行打包，物业派相关人员上门清理；业主也可在保证公共区域清洁与不损坏共用设施设备的前提下，选择自行清理。物业管理区域内不设置临时堆放点。以后进行再次改造装修的业主应按照本标准再次交纳建筑装潢垃圾清运费。 </w:t>
      </w:r>
    </w:p>
    <w:p>
      <w:pPr>
        <w:pStyle w:val="7"/>
        <w:numPr>
          <w:ilvl w:val="0"/>
          <w:numId w:val="20"/>
        </w:numPr>
        <w:snapToGrid w:val="0"/>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机动车车位的使用服务费按本协议内约定的标准执行。 </w:t>
      </w:r>
    </w:p>
    <w:p>
      <w:pPr>
        <w:numPr>
          <w:ilvl w:val="0"/>
          <w:numId w:val="20"/>
        </w:numPr>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业主或物业使用人委托对其房屋自用部位、自用设备进行的维修、养护的，实行有</w:t>
      </w:r>
    </w:p>
    <w:p>
      <w:pPr>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偿服务，费用由双方自行商定。  </w:t>
      </w:r>
    </w:p>
    <w:p>
      <w:pPr>
        <w:numPr>
          <w:ilvl w:val="0"/>
          <w:numId w:val="20"/>
        </w:numPr>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甲方可以根据乙方的委托，提供本协议以外的服务项目，服务报酬由双方商定。 </w:t>
      </w:r>
    </w:p>
    <w:p>
      <w:pPr>
        <w:numPr>
          <w:ilvl w:val="0"/>
          <w:numId w:val="20"/>
        </w:numPr>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甲方可以接受供汽、供水、通讯、有线电视等单位的有偿委托，但不得向最终用户</w:t>
      </w:r>
    </w:p>
    <w:p>
      <w:pPr>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收取额外费用。 </w:t>
      </w:r>
    </w:p>
    <w:p>
      <w:pPr>
        <w:numPr>
          <w:ilvl w:val="0"/>
          <w:numId w:val="20"/>
        </w:numPr>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房屋共用部位、共用设施设备的维修、养护费用： </w:t>
      </w:r>
    </w:p>
    <w:p>
      <w:pPr>
        <w:pStyle w:val="7"/>
        <w:snapToGrid w:val="0"/>
        <w:spacing w:line="360" w:lineRule="auto"/>
        <w:ind w:left="359" w:leftChars="171" w:firstLine="105" w:firstLineChars="50"/>
        <w:rPr>
          <w:rFonts w:asciiTheme="minorEastAsia" w:hAnsiTheme="minorEastAsia"/>
          <w:color w:val="auto"/>
          <w:szCs w:val="21"/>
          <w:highlight w:val="none"/>
        </w:rPr>
      </w:pPr>
      <w:r>
        <w:rPr>
          <w:rFonts w:hint="eastAsia" w:asciiTheme="minorEastAsia" w:hAnsiTheme="minorEastAsia"/>
          <w:color w:val="auto"/>
          <w:szCs w:val="21"/>
          <w:highlight w:val="none"/>
        </w:rPr>
        <w:t>1、保修期内属保修范围内的房屋建筑本体及共用部位、共用设施设备的维修、养护费</w:t>
      </w:r>
    </w:p>
    <w:p>
      <w:pPr>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用及责任由开发建设单位承担，开发建设范围委托甲方进行保修的，由甲方负责； </w:t>
      </w:r>
    </w:p>
    <w:p>
      <w:pPr>
        <w:pStyle w:val="7"/>
        <w:numPr>
          <w:ilvl w:val="1"/>
          <w:numId w:val="19"/>
        </w:numPr>
        <w:snapToGrid w:val="0"/>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不属保修范围内的维修、养护费用，按有关规定办理；</w:t>
      </w:r>
    </w:p>
    <w:p>
      <w:pPr>
        <w:pStyle w:val="7"/>
        <w:numPr>
          <w:ilvl w:val="1"/>
          <w:numId w:val="19"/>
        </w:numPr>
        <w:snapToGrid w:val="0"/>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保修期满后，房屋共用部位、共用设施设备的大修、中修、更新改造费用，在物业</w:t>
      </w:r>
    </w:p>
    <w:p>
      <w:pPr>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专项维修资金未建立之前，由物业区域内的全体业主按各自拥有物业建筑面积比例共同承担。物业专项维修资金建立后，在其专项维修资金中列支； </w:t>
      </w:r>
    </w:p>
    <w:p>
      <w:pPr>
        <w:pStyle w:val="7"/>
        <w:numPr>
          <w:ilvl w:val="1"/>
          <w:numId w:val="19"/>
        </w:numPr>
        <w:snapToGrid w:val="0"/>
        <w:spacing w:line="360" w:lineRule="auto"/>
        <w:ind w:firstLineChars="0"/>
        <w:rPr>
          <w:rFonts w:asciiTheme="minorEastAsia" w:hAnsiTheme="minorEastAsia"/>
          <w:color w:val="auto"/>
          <w:szCs w:val="21"/>
          <w:highlight w:val="none"/>
        </w:rPr>
      </w:pPr>
      <w:r>
        <w:rPr>
          <w:rFonts w:hint="eastAsia" w:asciiTheme="minorEastAsia" w:hAnsiTheme="minorEastAsia"/>
          <w:color w:val="auto"/>
          <w:szCs w:val="21"/>
          <w:highlight w:val="none"/>
        </w:rPr>
        <w:t xml:space="preserve">维修资金不敷使用时，由业主大会决定筹续； </w:t>
      </w:r>
    </w:p>
    <w:p>
      <w:pPr>
        <w:snapToGrid w:val="0"/>
        <w:spacing w:line="360" w:lineRule="auto"/>
        <w:ind w:left="420"/>
        <w:rPr>
          <w:rFonts w:asciiTheme="minorEastAsia" w:hAnsiTheme="minorEastAsia"/>
          <w:color w:val="auto"/>
          <w:szCs w:val="21"/>
          <w:highlight w:val="none"/>
        </w:rPr>
      </w:pPr>
      <w:r>
        <w:rPr>
          <w:rFonts w:hint="eastAsia" w:asciiTheme="minorEastAsia" w:hAnsiTheme="minorEastAsia"/>
          <w:color w:val="auto"/>
          <w:szCs w:val="21"/>
          <w:highlight w:val="none"/>
        </w:rPr>
        <w:t xml:space="preserve">10、业主转让房屋所有权时，维修资金不予退还，随房屋所有权过户。   </w:t>
      </w:r>
    </w:p>
    <w:p>
      <w:pPr>
        <w:spacing w:line="360" w:lineRule="auto"/>
        <w:rPr>
          <w:rFonts w:asciiTheme="minorEastAsia" w:hAnsiTheme="minorEastAsia"/>
          <w:color w:val="auto"/>
          <w:szCs w:val="21"/>
          <w:highlight w:val="none"/>
        </w:rPr>
      </w:pPr>
    </w:p>
    <w:p>
      <w:pPr>
        <w:spacing w:line="360" w:lineRule="auto"/>
        <w:ind w:firstLine="413" w:firstLineChars="196"/>
        <w:rPr>
          <w:rFonts w:asciiTheme="minorEastAsia" w:hAnsiTheme="minorEastAsia"/>
          <w:bCs/>
          <w:color w:val="auto"/>
          <w:szCs w:val="21"/>
          <w:highlight w:val="none"/>
        </w:rPr>
      </w:pPr>
      <w:r>
        <w:rPr>
          <w:rFonts w:hint="eastAsia" w:asciiTheme="minorEastAsia" w:hAnsiTheme="minorEastAsia"/>
          <w:b/>
          <w:bCs/>
          <w:color w:val="auto"/>
          <w:szCs w:val="21"/>
          <w:highlight w:val="none"/>
        </w:rPr>
        <w:t>第五条</w:t>
      </w:r>
      <w:r>
        <w:rPr>
          <w:rFonts w:hint="eastAsia" w:asciiTheme="minorEastAsia" w:hAnsiTheme="minorEastAsia"/>
          <w:bCs/>
          <w:color w:val="auto"/>
          <w:szCs w:val="21"/>
          <w:highlight w:val="none"/>
        </w:rPr>
        <w:t xml:space="preserve">  违约责任 </w:t>
      </w:r>
    </w:p>
    <w:p>
      <w:pPr>
        <w:spacing w:line="36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一、甲方违反协议，未达到管理服务质量约定目标的，乙方有权要求甲方限期改正，给</w:t>
      </w:r>
    </w:p>
    <w:p>
      <w:p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乙方造成损失的，甲方应承担相应的经济赔偿或法律责任； </w:t>
      </w:r>
    </w:p>
    <w:p>
      <w:pPr>
        <w:spacing w:line="36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 xml:space="preserve">二、乙方违反协议，使甲方未达到管理服务质量约定目标的，甲方有权要求乙方限期改正，给甲方造成损失的，乙方应承担相应的经济赔偿或法律责任； </w:t>
      </w:r>
    </w:p>
    <w:p>
      <w:pPr>
        <w:spacing w:line="360" w:lineRule="auto"/>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rPr>
        <w:t xml:space="preserve">三、乙方违反协议，不按本协议约定的收费标准和时间交纳相关费用的，甲方有权要求乙方在15个工作日内补交，逾期未补交，从逾期之日起按每天3‰交纳违约金。 </w:t>
      </w:r>
      <w:r>
        <w:rPr>
          <w:rFonts w:hint="eastAsia" w:asciiTheme="minorEastAsia" w:hAnsiTheme="minorEastAsia"/>
          <w:color w:val="auto"/>
          <w:szCs w:val="21"/>
          <w:highlight w:val="none"/>
          <w:lang w:eastAsia="zh-CN"/>
        </w:rPr>
        <w:t>不交纳物业服务费长达六个月者，甲方有权利在物业管理区域给予公示，并按有关规定向乙方追究法律责任（参照第五条第二项）。</w:t>
      </w:r>
    </w:p>
    <w:p>
      <w:pPr>
        <w:spacing w:line="360" w:lineRule="auto"/>
        <w:ind w:left="420"/>
        <w:rPr>
          <w:rFonts w:asciiTheme="minorEastAsia" w:hAnsiTheme="minorEastAsia"/>
          <w:color w:val="auto"/>
          <w:szCs w:val="21"/>
          <w:highlight w:val="none"/>
        </w:rPr>
      </w:pPr>
    </w:p>
    <w:p>
      <w:pPr>
        <w:spacing w:line="360" w:lineRule="auto"/>
        <w:ind w:firstLine="422" w:firstLineChars="200"/>
        <w:rPr>
          <w:rFonts w:asciiTheme="minorEastAsia" w:hAnsiTheme="minorEastAsia"/>
          <w:color w:val="auto"/>
          <w:szCs w:val="21"/>
          <w:highlight w:val="none"/>
        </w:rPr>
      </w:pPr>
      <w:r>
        <w:rPr>
          <w:rFonts w:hint="eastAsia" w:asciiTheme="minorEastAsia" w:hAnsiTheme="minorEastAsia"/>
          <w:b/>
          <w:color w:val="auto"/>
          <w:szCs w:val="21"/>
          <w:highlight w:val="none"/>
        </w:rPr>
        <w:t>第六条</w:t>
      </w:r>
      <w:r>
        <w:rPr>
          <w:rFonts w:hint="eastAsia" w:asciiTheme="minorEastAsia" w:hAnsiTheme="minorEastAsia"/>
          <w:color w:val="auto"/>
          <w:szCs w:val="21"/>
          <w:highlight w:val="none"/>
        </w:rPr>
        <w:t xml:space="preserve">  为维护公众、业主或物业使用人的切身利益，在不可预见的情况下，如发生煤气泄漏、漏电、火灾、水管破裂、救助人命、协助公安机关执行任务等突发事件，乙方应积极配合甲方对上述灾害发生时所采取的紧急避险措施。 </w:t>
      </w:r>
    </w:p>
    <w:p>
      <w:pPr>
        <w:spacing w:line="360" w:lineRule="auto"/>
        <w:ind w:left="420"/>
        <w:rPr>
          <w:rFonts w:asciiTheme="minorEastAsia" w:hAnsiTheme="minorEastAsia"/>
          <w:color w:val="auto"/>
          <w:szCs w:val="21"/>
          <w:highlight w:val="none"/>
        </w:rPr>
      </w:pPr>
    </w:p>
    <w:p>
      <w:pPr>
        <w:spacing w:line="360" w:lineRule="auto"/>
        <w:ind w:firstLine="422" w:firstLineChars="200"/>
        <w:rPr>
          <w:rFonts w:asciiTheme="minorEastAsia" w:hAnsiTheme="minorEastAsia"/>
          <w:color w:val="auto"/>
          <w:szCs w:val="21"/>
          <w:highlight w:val="none"/>
        </w:rPr>
      </w:pPr>
      <w:r>
        <w:rPr>
          <w:rFonts w:hint="eastAsia" w:asciiTheme="minorEastAsia" w:hAnsiTheme="minorEastAsia"/>
          <w:b/>
          <w:color w:val="auto"/>
          <w:szCs w:val="21"/>
          <w:highlight w:val="none"/>
        </w:rPr>
        <w:t>第七条</w:t>
      </w:r>
      <w:r>
        <w:rPr>
          <w:rFonts w:hint="eastAsia" w:asciiTheme="minorEastAsia" w:hAnsiTheme="minorEastAsia"/>
          <w:color w:val="auto"/>
          <w:szCs w:val="21"/>
          <w:highlight w:val="none"/>
        </w:rPr>
        <w:t xml:space="preserve">  在本协议执行期间，如遇不可抗力，导致协议无法履行时，双方应按有关法律规定及时协商处理。</w:t>
      </w:r>
    </w:p>
    <w:p>
      <w:pPr>
        <w:pStyle w:val="7"/>
        <w:spacing w:line="360" w:lineRule="auto"/>
        <w:rPr>
          <w:rFonts w:asciiTheme="minorEastAsia" w:hAnsiTheme="minorEastAsia"/>
          <w:color w:val="auto"/>
          <w:szCs w:val="21"/>
          <w:highlight w:val="none"/>
        </w:rPr>
      </w:pPr>
    </w:p>
    <w:p>
      <w:pPr>
        <w:spacing w:line="360" w:lineRule="auto"/>
        <w:ind w:firstLine="315" w:firstLineChars="150"/>
        <w:rPr>
          <w:rFonts w:asciiTheme="minorEastAsia" w:hAnsiTheme="minorEastAsia"/>
          <w:color w:val="auto"/>
          <w:szCs w:val="21"/>
          <w:highlight w:val="none"/>
        </w:rPr>
      </w:pPr>
      <w:r>
        <w:rPr>
          <w:rFonts w:hint="eastAsia" w:asciiTheme="minorEastAsia" w:hAnsiTheme="minorEastAsia"/>
          <w:color w:val="auto"/>
          <w:szCs w:val="21"/>
          <w:highlight w:val="none"/>
        </w:rPr>
        <w:t xml:space="preserve"> </w:t>
      </w:r>
      <w:r>
        <w:rPr>
          <w:rFonts w:hint="eastAsia" w:asciiTheme="minorEastAsia" w:hAnsiTheme="minorEastAsia"/>
          <w:b/>
          <w:color w:val="auto"/>
          <w:szCs w:val="21"/>
          <w:highlight w:val="none"/>
        </w:rPr>
        <w:t>第八条</w:t>
      </w:r>
      <w:r>
        <w:rPr>
          <w:rFonts w:hint="eastAsia" w:asciiTheme="minorEastAsia" w:hAnsiTheme="minorEastAsia"/>
          <w:color w:val="auto"/>
          <w:szCs w:val="21"/>
          <w:highlight w:val="none"/>
        </w:rPr>
        <w:t xml:space="preserve">  本协议可结合物业实际进行补充，补充的文字具有同等效力。本协议中未规定的事宜，遵照国家有关法律、法规和规章执行。 </w:t>
      </w:r>
    </w:p>
    <w:p>
      <w:pPr>
        <w:pStyle w:val="7"/>
        <w:spacing w:line="360" w:lineRule="auto"/>
        <w:rPr>
          <w:rFonts w:asciiTheme="minorEastAsia" w:hAnsiTheme="minorEastAsia"/>
          <w:color w:val="auto"/>
          <w:szCs w:val="21"/>
          <w:highlight w:val="none"/>
        </w:rPr>
      </w:pPr>
    </w:p>
    <w:p>
      <w:pPr>
        <w:spacing w:line="360" w:lineRule="auto"/>
        <w:ind w:firstLine="422" w:firstLineChars="200"/>
        <w:rPr>
          <w:rFonts w:asciiTheme="minorEastAsia" w:hAnsiTheme="minorEastAsia"/>
          <w:color w:val="auto"/>
          <w:szCs w:val="21"/>
          <w:highlight w:val="none"/>
        </w:rPr>
      </w:pPr>
      <w:r>
        <w:rPr>
          <w:rFonts w:hint="eastAsia" w:asciiTheme="minorEastAsia" w:hAnsiTheme="minorEastAsia"/>
          <w:b/>
          <w:color w:val="auto"/>
          <w:szCs w:val="21"/>
          <w:highlight w:val="none"/>
        </w:rPr>
        <w:t>第九条</w:t>
      </w:r>
      <w:r>
        <w:rPr>
          <w:rFonts w:hint="eastAsia" w:asciiTheme="minorEastAsia" w:hAnsiTheme="minorEastAsia"/>
          <w:color w:val="auto"/>
          <w:szCs w:val="21"/>
          <w:highlight w:val="none"/>
        </w:rPr>
        <w:t xml:space="preserve">  本协议在履行中如发争议，双方经协商未能解决的可向物业管理行政主管部门申请调解；调解无效的，可向路桥区人民法院起诉。</w:t>
      </w:r>
    </w:p>
    <w:p>
      <w:pPr>
        <w:spacing w:line="360" w:lineRule="auto"/>
        <w:ind w:firstLine="420" w:firstLineChars="200"/>
        <w:rPr>
          <w:rFonts w:asciiTheme="minorEastAsia" w:hAnsiTheme="minorEastAsia"/>
          <w:color w:val="auto"/>
          <w:szCs w:val="21"/>
          <w:highlight w:val="none"/>
        </w:rPr>
      </w:pPr>
    </w:p>
    <w:p>
      <w:pPr>
        <w:spacing w:line="360" w:lineRule="auto"/>
        <w:ind w:firstLine="422" w:firstLineChars="200"/>
        <w:rPr>
          <w:rFonts w:asciiTheme="minorEastAsia" w:hAnsiTheme="minorEastAsia"/>
          <w:color w:val="auto"/>
          <w:szCs w:val="21"/>
          <w:highlight w:val="none"/>
        </w:rPr>
      </w:pPr>
      <w:r>
        <w:rPr>
          <w:rFonts w:hint="eastAsia" w:asciiTheme="minorEastAsia" w:hAnsiTheme="minorEastAsia"/>
          <w:b/>
          <w:color w:val="auto"/>
          <w:szCs w:val="21"/>
          <w:highlight w:val="none"/>
        </w:rPr>
        <w:t>第十条</w:t>
      </w:r>
      <w:r>
        <w:rPr>
          <w:rFonts w:hint="eastAsia" w:asciiTheme="minorEastAsia" w:hAnsiTheme="minorEastAsia"/>
          <w:color w:val="auto"/>
          <w:szCs w:val="21"/>
          <w:highlight w:val="none"/>
        </w:rPr>
        <w:t xml:space="preserve">  本协议正本连通附件共</w:t>
      </w:r>
      <w:r>
        <w:rPr>
          <w:rFonts w:hint="eastAsia" w:asciiTheme="minorEastAsia" w:hAnsiTheme="minorEastAsia"/>
          <w:color w:val="auto"/>
          <w:szCs w:val="21"/>
          <w:highlight w:val="none"/>
          <w:lang w:val="en-US" w:eastAsia="zh-CN"/>
        </w:rPr>
        <w:t>8</w:t>
      </w:r>
      <w:r>
        <w:rPr>
          <w:rFonts w:hint="eastAsia" w:asciiTheme="minorEastAsia" w:hAnsiTheme="minorEastAsia"/>
          <w:color w:val="auto"/>
          <w:szCs w:val="21"/>
          <w:highlight w:val="none"/>
        </w:rPr>
        <w:t xml:space="preserve">页，一式两份，甲乙双方各执一份。 </w:t>
      </w:r>
    </w:p>
    <w:p>
      <w:pPr>
        <w:spacing w:line="360" w:lineRule="auto"/>
        <w:rPr>
          <w:rFonts w:asciiTheme="minorEastAsia" w:hAnsiTheme="minorEastAsia"/>
          <w:color w:val="auto"/>
          <w:szCs w:val="21"/>
          <w:highlight w:val="none"/>
        </w:rPr>
      </w:pPr>
    </w:p>
    <w:p>
      <w:pPr>
        <w:spacing w:line="360" w:lineRule="auto"/>
        <w:ind w:firstLine="422"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b/>
          <w:color w:val="auto"/>
          <w:szCs w:val="21"/>
          <w:highlight w:val="none"/>
        </w:rPr>
        <w:t>第十一条</w:t>
      </w:r>
      <w:r>
        <w:rPr>
          <w:rFonts w:hint="eastAsia" w:asciiTheme="minorEastAsia" w:hAnsiTheme="minorEastAsia"/>
          <w:color w:val="auto"/>
          <w:szCs w:val="21"/>
          <w:highlight w:val="none"/>
        </w:rPr>
        <w:t xml:space="preserve">  本协议签订时，此协议文本已送辖区业务主管部门备案</w:t>
      </w:r>
      <w:r>
        <w:rPr>
          <w:rFonts w:hint="eastAsia" w:asciiTheme="minorEastAsia" w:hAnsiTheme="minorEastAsia"/>
          <w:color w:val="auto"/>
          <w:szCs w:val="21"/>
          <w:highlight w:val="none"/>
          <w:lang w:eastAsia="zh-CN"/>
        </w:rPr>
        <w:t>。</w:t>
      </w:r>
    </w:p>
    <w:p>
      <w:pPr>
        <w:spacing w:line="360" w:lineRule="auto"/>
        <w:ind w:firstLine="420" w:firstLineChars="200"/>
        <w:rPr>
          <w:rFonts w:asciiTheme="minorEastAsia" w:hAnsiTheme="minorEastAsia"/>
          <w:color w:val="auto"/>
          <w:szCs w:val="21"/>
          <w:highlight w:val="none"/>
        </w:rPr>
      </w:pPr>
    </w:p>
    <w:p>
      <w:pPr>
        <w:spacing w:line="360" w:lineRule="auto"/>
        <w:ind w:firstLine="422" w:firstLineChars="200"/>
        <w:rPr>
          <w:rFonts w:asciiTheme="minorEastAsia" w:hAnsiTheme="minorEastAsia"/>
          <w:color w:val="auto"/>
          <w:szCs w:val="21"/>
          <w:highlight w:val="none"/>
        </w:rPr>
      </w:pPr>
      <w:r>
        <w:rPr>
          <w:rFonts w:hint="eastAsia" w:asciiTheme="minorEastAsia" w:hAnsiTheme="minorEastAsia"/>
          <w:b/>
          <w:color w:val="auto"/>
          <w:szCs w:val="21"/>
          <w:highlight w:val="none"/>
        </w:rPr>
        <w:t>第十二条</w:t>
      </w:r>
      <w:r>
        <w:rPr>
          <w:rFonts w:hint="eastAsia" w:asciiTheme="minorEastAsia" w:hAnsiTheme="minorEastAsia"/>
          <w:color w:val="auto"/>
          <w:szCs w:val="21"/>
          <w:highlight w:val="none"/>
        </w:rPr>
        <w:t xml:space="preserve">  </w:t>
      </w:r>
      <w:r>
        <w:rPr>
          <w:rFonts w:hint="eastAsia" w:asciiTheme="minorEastAsia" w:hAnsiTheme="minorEastAsia"/>
          <w:bCs/>
          <w:color w:val="auto"/>
          <w:szCs w:val="21"/>
          <w:highlight w:val="none"/>
        </w:rPr>
        <w:t>本协议第二条1-</w:t>
      </w:r>
      <w:r>
        <w:rPr>
          <w:rFonts w:hint="eastAsia" w:asciiTheme="minorEastAsia" w:hAnsiTheme="minorEastAsia"/>
          <w:bCs/>
          <w:color w:val="auto"/>
          <w:szCs w:val="21"/>
          <w:highlight w:val="none"/>
          <w:lang w:val="en-US" w:eastAsia="zh-CN"/>
        </w:rPr>
        <w:t>7</w:t>
      </w:r>
      <w:r>
        <w:rPr>
          <w:rFonts w:hint="eastAsia" w:asciiTheme="minorEastAsia" w:hAnsiTheme="minorEastAsia"/>
          <w:bCs/>
          <w:color w:val="auto"/>
          <w:szCs w:val="21"/>
          <w:highlight w:val="none"/>
        </w:rPr>
        <w:t>款内容已详细阅读同意。</w:t>
      </w:r>
    </w:p>
    <w:p>
      <w:pPr>
        <w:pStyle w:val="7"/>
        <w:spacing w:line="360" w:lineRule="auto"/>
        <w:rPr>
          <w:rFonts w:asciiTheme="minorEastAsia" w:hAnsiTheme="minorEastAsia"/>
          <w:bCs/>
          <w:color w:val="auto"/>
          <w:szCs w:val="21"/>
          <w:highlight w:val="none"/>
        </w:rPr>
      </w:pPr>
    </w:p>
    <w:p>
      <w:pPr>
        <w:spacing w:line="360" w:lineRule="auto"/>
        <w:ind w:firstLine="422" w:firstLineChars="200"/>
        <w:rPr>
          <w:rFonts w:asciiTheme="minorEastAsia" w:hAnsiTheme="minorEastAsia"/>
          <w:bCs/>
          <w:color w:val="auto"/>
          <w:szCs w:val="21"/>
          <w:highlight w:val="none"/>
        </w:rPr>
      </w:pPr>
      <w:r>
        <w:rPr>
          <w:rFonts w:hint="eastAsia" w:asciiTheme="minorEastAsia" w:hAnsiTheme="minorEastAsia"/>
          <w:b/>
          <w:color w:val="auto"/>
          <w:szCs w:val="21"/>
          <w:highlight w:val="none"/>
        </w:rPr>
        <w:t>第十三条</w:t>
      </w:r>
      <w:r>
        <w:rPr>
          <w:rFonts w:hint="eastAsia" w:asciiTheme="minorEastAsia" w:hAnsiTheme="minorEastAsia"/>
          <w:color w:val="auto"/>
          <w:szCs w:val="21"/>
          <w:highlight w:val="none"/>
        </w:rPr>
        <w:t xml:space="preserve">  本协议自签字之日起生效。</w:t>
      </w:r>
    </w:p>
    <w:p>
      <w:pPr>
        <w:spacing w:line="360" w:lineRule="auto"/>
        <w:rPr>
          <w:rFonts w:asciiTheme="minorEastAsia" w:hAnsiTheme="minorEastAsia"/>
          <w:bCs/>
          <w:color w:val="auto"/>
          <w:szCs w:val="21"/>
          <w:highlight w:val="none"/>
        </w:rPr>
      </w:pPr>
      <w:r>
        <w:rPr>
          <w:rFonts w:hint="eastAsia" w:asciiTheme="minorEastAsia" w:hAnsiTheme="minorEastAsia"/>
          <w:color w:val="auto"/>
          <w:szCs w:val="21"/>
          <w:highlight w:val="none"/>
        </w:rPr>
        <w:t xml:space="preserve"> </w:t>
      </w:r>
    </w:p>
    <w:p>
      <w:pPr>
        <w:spacing w:line="360" w:lineRule="auto"/>
        <w:rPr>
          <w:rFonts w:asciiTheme="minorEastAsia" w:hAnsiTheme="minorEastAsia"/>
          <w:color w:val="auto"/>
          <w:szCs w:val="21"/>
          <w:highlight w:val="none"/>
        </w:rPr>
      </w:pPr>
    </w:p>
    <w:p>
      <w:pPr>
        <w:spacing w:line="360" w:lineRule="auto"/>
        <w:rPr>
          <w:rFonts w:asciiTheme="minorEastAsia" w:hAnsiTheme="minorEastAsia"/>
          <w:color w:val="auto"/>
          <w:szCs w:val="21"/>
          <w:highlight w:val="none"/>
        </w:rPr>
      </w:pPr>
    </w:p>
    <w:p>
      <w:pPr>
        <w:spacing w:line="360" w:lineRule="auto"/>
        <w:rPr>
          <w:rFonts w:asciiTheme="minorEastAsia" w:hAnsiTheme="minorEastAsia"/>
          <w:color w:val="auto"/>
          <w:szCs w:val="21"/>
          <w:highlight w:val="none"/>
        </w:rPr>
      </w:pPr>
    </w:p>
    <w:p>
      <w:p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     甲方签章：                                    乙方签章： </w:t>
      </w:r>
    </w:p>
    <w:p>
      <w:pPr>
        <w:spacing w:line="360" w:lineRule="auto"/>
        <w:rPr>
          <w:rFonts w:asciiTheme="minorEastAsia" w:hAnsiTheme="minorEastAsia"/>
          <w:color w:val="auto"/>
          <w:szCs w:val="21"/>
          <w:highlight w:val="none"/>
        </w:rPr>
      </w:pPr>
    </w:p>
    <w:p>
      <w:pPr>
        <w:spacing w:line="360" w:lineRule="auto"/>
        <w:rPr>
          <w:rFonts w:asciiTheme="minorEastAsia" w:hAnsiTheme="minorEastAsia"/>
          <w:color w:val="auto"/>
          <w:szCs w:val="21"/>
          <w:highlight w:val="none"/>
        </w:rPr>
      </w:pPr>
    </w:p>
    <w:p>
      <w:pPr>
        <w:spacing w:line="360" w:lineRule="auto"/>
        <w:rPr>
          <w:rFonts w:asciiTheme="minorEastAsia" w:hAnsiTheme="minorEastAsia"/>
          <w:color w:val="auto"/>
          <w:szCs w:val="21"/>
          <w:highlight w:val="none"/>
        </w:rPr>
      </w:pPr>
    </w:p>
    <w:p>
      <w:p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     代表人：                                      代表人： </w:t>
      </w:r>
    </w:p>
    <w:p>
      <w:pPr>
        <w:spacing w:line="360" w:lineRule="auto"/>
        <w:rPr>
          <w:rFonts w:asciiTheme="minorEastAsia" w:hAnsiTheme="minorEastAsia"/>
          <w:color w:val="auto"/>
          <w:szCs w:val="21"/>
          <w:highlight w:val="none"/>
        </w:rPr>
      </w:pPr>
    </w:p>
    <w:p>
      <w:pPr>
        <w:spacing w:line="360" w:lineRule="auto"/>
        <w:rPr>
          <w:rFonts w:asciiTheme="minorEastAsia" w:hAnsiTheme="minorEastAsia"/>
          <w:color w:val="auto"/>
          <w:szCs w:val="21"/>
          <w:highlight w:val="none"/>
        </w:rPr>
      </w:pPr>
    </w:p>
    <w:p>
      <w:pPr>
        <w:spacing w:line="360" w:lineRule="auto"/>
        <w:rPr>
          <w:rFonts w:asciiTheme="minorEastAsia" w:hAnsiTheme="minorEastAsia"/>
          <w:color w:val="auto"/>
          <w:szCs w:val="21"/>
          <w:highlight w:val="none"/>
        </w:rPr>
      </w:pPr>
    </w:p>
    <w:p>
      <w:pPr>
        <w:spacing w:line="360" w:lineRule="auto"/>
        <w:rPr>
          <w:rFonts w:asciiTheme="minorEastAsia" w:hAnsiTheme="minorEastAsia"/>
          <w:color w:val="auto"/>
          <w:szCs w:val="21"/>
          <w:highlight w:val="none"/>
        </w:rPr>
      </w:pPr>
    </w:p>
    <w:p>
      <w:pPr>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      签订之日：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5B9CC"/>
    <w:multiLevelType w:val="singleLevel"/>
    <w:tmpl w:val="9125B9CC"/>
    <w:lvl w:ilvl="0" w:tentative="0">
      <w:start w:val="1"/>
      <w:numFmt w:val="decimal"/>
      <w:suff w:val="nothing"/>
      <w:lvlText w:val="%1、"/>
      <w:lvlJc w:val="left"/>
      <w:rPr>
        <w:rFonts w:asciiTheme="minorHAnsi" w:hAnsiTheme="minorHAnsi" w:eastAsiaTheme="minorEastAsia" w:cstheme="minorBidi"/>
      </w:rPr>
    </w:lvl>
  </w:abstractNum>
  <w:abstractNum w:abstractNumId="1">
    <w:nsid w:val="982034C5"/>
    <w:multiLevelType w:val="singleLevel"/>
    <w:tmpl w:val="982034C5"/>
    <w:lvl w:ilvl="0" w:tentative="0">
      <w:start w:val="1"/>
      <w:numFmt w:val="decimal"/>
      <w:suff w:val="nothing"/>
      <w:lvlText w:val="%1、"/>
      <w:lvlJc w:val="left"/>
      <w:pPr>
        <w:ind w:left="426" w:firstLine="0"/>
      </w:pPr>
      <w:rPr>
        <w:rFonts w:asciiTheme="minorEastAsia" w:hAnsiTheme="minorEastAsia" w:eastAsiaTheme="minorEastAsia" w:cstheme="minorBidi"/>
      </w:rPr>
    </w:lvl>
  </w:abstractNum>
  <w:abstractNum w:abstractNumId="2">
    <w:nsid w:val="AFC7798B"/>
    <w:multiLevelType w:val="singleLevel"/>
    <w:tmpl w:val="AFC7798B"/>
    <w:lvl w:ilvl="0" w:tentative="0">
      <w:start w:val="1"/>
      <w:numFmt w:val="decimal"/>
      <w:suff w:val="nothing"/>
      <w:lvlText w:val="%1、"/>
      <w:lvlJc w:val="left"/>
    </w:lvl>
  </w:abstractNum>
  <w:abstractNum w:abstractNumId="3">
    <w:nsid w:val="C39A1ECA"/>
    <w:multiLevelType w:val="singleLevel"/>
    <w:tmpl w:val="C39A1ECA"/>
    <w:lvl w:ilvl="0" w:tentative="0">
      <w:start w:val="1"/>
      <w:numFmt w:val="decimal"/>
      <w:suff w:val="nothing"/>
      <w:lvlText w:val="%1、"/>
      <w:lvlJc w:val="left"/>
      <w:rPr>
        <w:rFonts w:asciiTheme="minorHAnsi" w:hAnsiTheme="minorHAnsi" w:eastAsiaTheme="minorEastAsia" w:cstheme="minorBidi"/>
      </w:rPr>
    </w:lvl>
  </w:abstractNum>
  <w:abstractNum w:abstractNumId="4">
    <w:nsid w:val="C5924EC4"/>
    <w:multiLevelType w:val="singleLevel"/>
    <w:tmpl w:val="C5924EC4"/>
    <w:lvl w:ilvl="0" w:tentative="0">
      <w:start w:val="1"/>
      <w:numFmt w:val="chineseCounting"/>
      <w:suff w:val="nothing"/>
      <w:lvlText w:val="（%1）"/>
      <w:lvlJc w:val="left"/>
      <w:pPr>
        <w:ind w:left="105" w:firstLine="0"/>
      </w:pPr>
      <w:rPr>
        <w:rFonts w:hint="eastAsia"/>
      </w:rPr>
    </w:lvl>
  </w:abstractNum>
  <w:abstractNum w:abstractNumId="5">
    <w:nsid w:val="D6A29B9C"/>
    <w:multiLevelType w:val="singleLevel"/>
    <w:tmpl w:val="D6A29B9C"/>
    <w:lvl w:ilvl="0" w:tentative="0">
      <w:start w:val="1"/>
      <w:numFmt w:val="lowerLetter"/>
      <w:suff w:val="space"/>
      <w:lvlText w:val="%1、"/>
      <w:lvlJc w:val="left"/>
      <w:pPr>
        <w:ind w:left="420" w:firstLine="0"/>
      </w:pPr>
    </w:lvl>
  </w:abstractNum>
  <w:abstractNum w:abstractNumId="6">
    <w:nsid w:val="02E722FB"/>
    <w:multiLevelType w:val="singleLevel"/>
    <w:tmpl w:val="02E722FB"/>
    <w:lvl w:ilvl="0" w:tentative="0">
      <w:start w:val="1"/>
      <w:numFmt w:val="chineseCounting"/>
      <w:suff w:val="space"/>
      <w:lvlText w:val="%1、"/>
      <w:lvlJc w:val="left"/>
      <w:rPr>
        <w:rFonts w:hint="eastAsia"/>
      </w:rPr>
    </w:lvl>
  </w:abstractNum>
  <w:abstractNum w:abstractNumId="7">
    <w:nsid w:val="03509EA4"/>
    <w:multiLevelType w:val="singleLevel"/>
    <w:tmpl w:val="03509EA4"/>
    <w:lvl w:ilvl="0" w:tentative="0">
      <w:start w:val="1"/>
      <w:numFmt w:val="chineseCounting"/>
      <w:suff w:val="space"/>
      <w:lvlText w:val="%1、"/>
      <w:lvlJc w:val="left"/>
      <w:rPr>
        <w:rFonts w:hint="eastAsia"/>
      </w:rPr>
    </w:lvl>
  </w:abstractNum>
  <w:abstractNum w:abstractNumId="8">
    <w:nsid w:val="23F35E77"/>
    <w:multiLevelType w:val="multilevel"/>
    <w:tmpl w:val="23F35E7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46A04F5"/>
    <w:multiLevelType w:val="singleLevel"/>
    <w:tmpl w:val="246A04F5"/>
    <w:lvl w:ilvl="0" w:tentative="0">
      <w:start w:val="1"/>
      <w:numFmt w:val="chineseCounting"/>
      <w:suff w:val="space"/>
      <w:lvlText w:val="（%1）"/>
      <w:lvlJc w:val="left"/>
      <w:pPr>
        <w:ind w:left="210" w:firstLine="0"/>
      </w:pPr>
      <w:rPr>
        <w:rFonts w:hint="eastAsia"/>
      </w:rPr>
    </w:lvl>
  </w:abstractNum>
  <w:abstractNum w:abstractNumId="10">
    <w:nsid w:val="2A2A443F"/>
    <w:multiLevelType w:val="multilevel"/>
    <w:tmpl w:val="2A2A443F"/>
    <w:lvl w:ilvl="0" w:tentative="0">
      <w:start w:val="1"/>
      <w:numFmt w:val="decimal"/>
      <w:lvlText w:val="%1、"/>
      <w:lvlJc w:val="left"/>
      <w:pPr>
        <w:ind w:left="824" w:hanging="360"/>
      </w:pPr>
      <w:rPr>
        <w:rFonts w:hint="default"/>
      </w:rPr>
    </w:lvl>
    <w:lvl w:ilvl="1" w:tentative="0">
      <w:start w:val="1"/>
      <w:numFmt w:val="lowerLetter"/>
      <w:lvlText w:val="%2)"/>
      <w:lvlJc w:val="left"/>
      <w:pPr>
        <w:ind w:left="1304" w:hanging="420"/>
      </w:pPr>
    </w:lvl>
    <w:lvl w:ilvl="2" w:tentative="0">
      <w:start w:val="1"/>
      <w:numFmt w:val="lowerRoman"/>
      <w:lvlText w:val="%3."/>
      <w:lvlJc w:val="right"/>
      <w:pPr>
        <w:ind w:left="1724" w:hanging="420"/>
      </w:pPr>
    </w:lvl>
    <w:lvl w:ilvl="3" w:tentative="0">
      <w:start w:val="1"/>
      <w:numFmt w:val="decimal"/>
      <w:lvlText w:val="%4."/>
      <w:lvlJc w:val="left"/>
      <w:pPr>
        <w:ind w:left="2144" w:hanging="420"/>
      </w:pPr>
    </w:lvl>
    <w:lvl w:ilvl="4" w:tentative="0">
      <w:start w:val="1"/>
      <w:numFmt w:val="lowerLetter"/>
      <w:lvlText w:val="%5)"/>
      <w:lvlJc w:val="left"/>
      <w:pPr>
        <w:ind w:left="2564" w:hanging="420"/>
      </w:pPr>
    </w:lvl>
    <w:lvl w:ilvl="5" w:tentative="0">
      <w:start w:val="1"/>
      <w:numFmt w:val="lowerRoman"/>
      <w:lvlText w:val="%6."/>
      <w:lvlJc w:val="right"/>
      <w:pPr>
        <w:ind w:left="2984" w:hanging="420"/>
      </w:pPr>
    </w:lvl>
    <w:lvl w:ilvl="6" w:tentative="0">
      <w:start w:val="1"/>
      <w:numFmt w:val="decimal"/>
      <w:lvlText w:val="%7."/>
      <w:lvlJc w:val="left"/>
      <w:pPr>
        <w:ind w:left="3404" w:hanging="420"/>
      </w:pPr>
    </w:lvl>
    <w:lvl w:ilvl="7" w:tentative="0">
      <w:start w:val="1"/>
      <w:numFmt w:val="lowerLetter"/>
      <w:lvlText w:val="%8)"/>
      <w:lvlJc w:val="left"/>
      <w:pPr>
        <w:ind w:left="3824" w:hanging="420"/>
      </w:pPr>
    </w:lvl>
    <w:lvl w:ilvl="8" w:tentative="0">
      <w:start w:val="1"/>
      <w:numFmt w:val="lowerRoman"/>
      <w:lvlText w:val="%9."/>
      <w:lvlJc w:val="right"/>
      <w:pPr>
        <w:ind w:left="4244" w:hanging="420"/>
      </w:pPr>
    </w:lvl>
  </w:abstractNum>
  <w:abstractNum w:abstractNumId="11">
    <w:nsid w:val="399D003D"/>
    <w:multiLevelType w:val="multilevel"/>
    <w:tmpl w:val="399D003D"/>
    <w:lvl w:ilvl="0" w:tentative="0">
      <w:start w:val="1"/>
      <w:numFmt w:val="japaneseCounting"/>
      <w:lvlText w:val="%1、"/>
      <w:lvlJc w:val="left"/>
      <w:pPr>
        <w:ind w:left="735" w:hanging="42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2">
    <w:nsid w:val="55572438"/>
    <w:multiLevelType w:val="multilevel"/>
    <w:tmpl w:val="55572438"/>
    <w:lvl w:ilvl="0" w:tentative="0">
      <w:start w:val="1"/>
      <w:numFmt w:val="decimal"/>
      <w:suff w:val="nothing"/>
      <w:lvlText w:val="（%1）"/>
      <w:lvlJc w:val="left"/>
      <w:pPr>
        <w:ind w:left="1050" w:firstLine="0"/>
      </w:pPr>
    </w:lvl>
    <w:lvl w:ilvl="1" w:tentative="0">
      <w:start w:val="2"/>
      <w:numFmt w:val="decimal"/>
      <w:lvlText w:val="%2、"/>
      <w:lvlJc w:val="left"/>
      <w:pPr>
        <w:ind w:left="780" w:hanging="360"/>
      </w:pPr>
      <w:rPr>
        <w:rFonts w:hint="default"/>
      </w:rPr>
    </w:lvl>
    <w:lvl w:ilvl="2" w:tentative="0">
      <w:start w:val="3"/>
      <w:numFmt w:val="japaneseCounting"/>
      <w:lvlText w:val="%3、"/>
      <w:lvlJc w:val="left"/>
      <w:pPr>
        <w:ind w:left="846" w:hanging="4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4F21223"/>
    <w:multiLevelType w:val="singleLevel"/>
    <w:tmpl w:val="64F21223"/>
    <w:lvl w:ilvl="0" w:tentative="0">
      <w:start w:val="1"/>
      <w:numFmt w:val="decimal"/>
      <w:suff w:val="nothing"/>
      <w:lvlText w:val="%1、"/>
      <w:lvlJc w:val="left"/>
      <w:rPr>
        <w:rFonts w:asciiTheme="minorHAnsi" w:hAnsiTheme="minorHAnsi" w:eastAsiaTheme="minorEastAsia" w:cstheme="minorBidi"/>
      </w:rPr>
    </w:lvl>
  </w:abstractNum>
  <w:abstractNum w:abstractNumId="14">
    <w:nsid w:val="6DE076D9"/>
    <w:multiLevelType w:val="multilevel"/>
    <w:tmpl w:val="6DE076D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75E40368"/>
    <w:multiLevelType w:val="multilevel"/>
    <w:tmpl w:val="75E40368"/>
    <w:lvl w:ilvl="0" w:tentative="0">
      <w:start w:val="1"/>
      <w:numFmt w:val="japaneseCounting"/>
      <w:lvlText w:val="第%1条"/>
      <w:lvlJc w:val="left"/>
      <w:pPr>
        <w:ind w:left="1245" w:hanging="720"/>
      </w:pPr>
      <w:rPr>
        <w:rFonts w:hint="default"/>
        <w:b/>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16">
    <w:nsid w:val="768405E2"/>
    <w:multiLevelType w:val="singleLevel"/>
    <w:tmpl w:val="768405E2"/>
    <w:lvl w:ilvl="0" w:tentative="0">
      <w:start w:val="1"/>
      <w:numFmt w:val="decimal"/>
      <w:suff w:val="space"/>
      <w:lvlText w:val="%1、"/>
      <w:lvlJc w:val="left"/>
    </w:lvl>
  </w:abstractNum>
  <w:abstractNum w:abstractNumId="17">
    <w:nsid w:val="770953B6"/>
    <w:multiLevelType w:val="multilevel"/>
    <w:tmpl w:val="770953B6"/>
    <w:lvl w:ilvl="0" w:tentative="0">
      <w:start w:val="2"/>
      <w:numFmt w:val="japaneseCounting"/>
      <w:lvlText w:val="%1、"/>
      <w:lvlJc w:val="left"/>
      <w:pPr>
        <w:ind w:left="846" w:hanging="4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8">
    <w:nsid w:val="779E30AB"/>
    <w:multiLevelType w:val="multilevel"/>
    <w:tmpl w:val="779E30AB"/>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79935A5A"/>
    <w:multiLevelType w:val="multilevel"/>
    <w:tmpl w:val="79935A5A"/>
    <w:lvl w:ilvl="0" w:tentative="0">
      <w:start w:val="1"/>
      <w:numFmt w:val="decimal"/>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15"/>
  </w:num>
  <w:num w:numId="2">
    <w:abstractNumId w:val="11"/>
  </w:num>
  <w:num w:numId="3">
    <w:abstractNumId w:val="9"/>
  </w:num>
  <w:num w:numId="4">
    <w:abstractNumId w:val="0"/>
  </w:num>
  <w:num w:numId="5">
    <w:abstractNumId w:val="13"/>
  </w:num>
  <w:num w:numId="6">
    <w:abstractNumId w:val="4"/>
  </w:num>
  <w:num w:numId="7">
    <w:abstractNumId w:val="14"/>
  </w:num>
  <w:num w:numId="8">
    <w:abstractNumId w:val="3"/>
  </w:num>
  <w:num w:numId="9">
    <w:abstractNumId w:val="2"/>
  </w:num>
  <w:num w:numId="10">
    <w:abstractNumId w:val="5"/>
  </w:num>
  <w:num w:numId="11">
    <w:abstractNumId w:val="6"/>
  </w:num>
  <w:num w:numId="12">
    <w:abstractNumId w:val="16"/>
  </w:num>
  <w:num w:numId="13">
    <w:abstractNumId w:val="19"/>
  </w:num>
  <w:num w:numId="14">
    <w:abstractNumId w:val="8"/>
  </w:num>
  <w:num w:numId="15">
    <w:abstractNumId w:val="18"/>
  </w:num>
  <w:num w:numId="16">
    <w:abstractNumId w:val="1"/>
  </w:num>
  <w:num w:numId="17">
    <w:abstractNumId w:val="10"/>
  </w:num>
  <w:num w:numId="18">
    <w:abstractNumId w:val="7"/>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78D"/>
    <w:rsid w:val="00000B9B"/>
    <w:rsid w:val="000867FF"/>
    <w:rsid w:val="001F69A8"/>
    <w:rsid w:val="003D0EE6"/>
    <w:rsid w:val="005619EF"/>
    <w:rsid w:val="005E1546"/>
    <w:rsid w:val="006160DC"/>
    <w:rsid w:val="00643051"/>
    <w:rsid w:val="00673888"/>
    <w:rsid w:val="00720A45"/>
    <w:rsid w:val="0073053E"/>
    <w:rsid w:val="007B61F5"/>
    <w:rsid w:val="007B7620"/>
    <w:rsid w:val="00801325"/>
    <w:rsid w:val="008C1766"/>
    <w:rsid w:val="0094429E"/>
    <w:rsid w:val="00987A65"/>
    <w:rsid w:val="009A3B8A"/>
    <w:rsid w:val="009C721A"/>
    <w:rsid w:val="00AD6AD2"/>
    <w:rsid w:val="00B1725F"/>
    <w:rsid w:val="00B77366"/>
    <w:rsid w:val="00BE2419"/>
    <w:rsid w:val="00BE5F66"/>
    <w:rsid w:val="00C9692E"/>
    <w:rsid w:val="00D5678D"/>
    <w:rsid w:val="00D616B4"/>
    <w:rsid w:val="00DF74EB"/>
    <w:rsid w:val="00E06476"/>
    <w:rsid w:val="00E11CEB"/>
    <w:rsid w:val="00E219F7"/>
    <w:rsid w:val="00E24E6B"/>
    <w:rsid w:val="00E717E9"/>
    <w:rsid w:val="00EE422E"/>
    <w:rsid w:val="171C63AA"/>
    <w:rsid w:val="18436BAC"/>
    <w:rsid w:val="1D1D23C9"/>
    <w:rsid w:val="1E574895"/>
    <w:rsid w:val="1EA54CFF"/>
    <w:rsid w:val="26A11BE6"/>
    <w:rsid w:val="2B7F39F7"/>
    <w:rsid w:val="2E1D0120"/>
    <w:rsid w:val="33E053B9"/>
    <w:rsid w:val="344802AF"/>
    <w:rsid w:val="364822BC"/>
    <w:rsid w:val="3F066C85"/>
    <w:rsid w:val="43B05C73"/>
    <w:rsid w:val="46233933"/>
    <w:rsid w:val="479F755A"/>
    <w:rsid w:val="48706193"/>
    <w:rsid w:val="4B4A303A"/>
    <w:rsid w:val="4C69197D"/>
    <w:rsid w:val="4D4A53D1"/>
    <w:rsid w:val="4D7A4B1A"/>
    <w:rsid w:val="4EB21AE0"/>
    <w:rsid w:val="543C77E9"/>
    <w:rsid w:val="55143993"/>
    <w:rsid w:val="55163B53"/>
    <w:rsid w:val="55963345"/>
    <w:rsid w:val="59604C02"/>
    <w:rsid w:val="6CA55DCB"/>
    <w:rsid w:val="6D1C2D95"/>
    <w:rsid w:val="739B09B0"/>
    <w:rsid w:val="73F35D57"/>
    <w:rsid w:val="765447A8"/>
    <w:rsid w:val="794A127A"/>
    <w:rsid w:val="7E927C33"/>
    <w:rsid w:val="7EA573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811</Words>
  <Characters>4625</Characters>
  <Lines>38</Lines>
  <Paragraphs>10</Paragraphs>
  <TotalTime>126</TotalTime>
  <ScaleCrop>false</ScaleCrop>
  <LinksUpToDate>false</LinksUpToDate>
  <CharactersWithSpaces>5426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2018-06-10T17:01:00Z</dcterms:created>
  <dc:creator>MJK</dc:creator>
  <cp:lastModifiedBy>陈辰1424830215</cp:lastModifiedBy>
  <dcterms:modified xsi:type="dcterms:W3CDTF">2022-03-21T06:42:05Z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8414571073BC4AED86F227C1F00BD5C5</vt:lpwstr>
  </property>
</Properties>
</file>